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F3A9" w14:textId="16CC26F2" w:rsidR="00D55442" w:rsidRPr="00AB12E5" w:rsidRDefault="00D55442" w:rsidP="00AB12E5">
      <w:pPr>
        <w:pStyle w:val="Heading"/>
        <w:spacing w:before="120" w:after="0"/>
        <w:jc w:val="center"/>
        <w:rPr>
          <w:rFonts w:asciiTheme="minorHAnsi" w:hAnsiTheme="minorHAnsi" w:cstheme="minorHAnsi"/>
          <w:color w:val="auto"/>
          <w:sz w:val="44"/>
          <w:szCs w:val="44"/>
          <w:u w:val="single"/>
        </w:rPr>
      </w:pPr>
      <w:r w:rsidRPr="00D55442">
        <w:rPr>
          <w:rFonts w:asciiTheme="minorHAnsi" w:hAnsiTheme="minorHAnsi" w:cstheme="minorHAnsi"/>
          <w:color w:val="auto"/>
          <w:sz w:val="44"/>
          <w:szCs w:val="44"/>
          <w:u w:val="single"/>
        </w:rPr>
        <w:t>WHISTLEBLOWING POLICY</w:t>
      </w:r>
    </w:p>
    <w:p w14:paraId="79E18713" w14:textId="77777777" w:rsidR="00D55442" w:rsidRPr="00092B5A" w:rsidRDefault="00D55442" w:rsidP="00D55442">
      <w:pPr>
        <w:pStyle w:val="Heading1"/>
        <w:keepLines w:val="0"/>
        <w:tabs>
          <w:tab w:val="num" w:pos="432"/>
        </w:tabs>
        <w:suppressAutoHyphens/>
        <w:spacing w:line="240" w:lineRule="auto"/>
        <w:rPr>
          <w:rFonts w:asciiTheme="minorHAnsi" w:hAnsiTheme="minorHAnsi" w:cstheme="minorHAnsi"/>
          <w:b/>
          <w:bCs/>
          <w:color w:val="auto"/>
          <w:sz w:val="28"/>
          <w:szCs w:val="28"/>
        </w:rPr>
      </w:pPr>
      <w:r w:rsidRPr="00092B5A">
        <w:rPr>
          <w:rFonts w:asciiTheme="minorHAnsi" w:hAnsiTheme="minorHAnsi" w:cstheme="minorHAnsi"/>
          <w:b/>
          <w:bCs/>
          <w:color w:val="auto"/>
          <w:sz w:val="28"/>
          <w:szCs w:val="28"/>
        </w:rPr>
        <w:t>Policy</w:t>
      </w:r>
    </w:p>
    <w:p w14:paraId="5C07CB4D" w14:textId="5687DA5C" w:rsidR="00D55442" w:rsidRPr="00D55442" w:rsidRDefault="00D55442" w:rsidP="00D55442">
      <w:pPr>
        <w:pStyle w:val="BodyText"/>
        <w:spacing w:before="120" w:after="0"/>
        <w:rPr>
          <w:rFonts w:asciiTheme="minorHAnsi" w:hAnsiTheme="minorHAnsi" w:cstheme="minorHAnsi"/>
          <w:sz w:val="24"/>
        </w:rPr>
      </w:pPr>
      <w:r>
        <w:rPr>
          <w:rFonts w:asciiTheme="minorHAnsi" w:hAnsiTheme="minorHAnsi" w:cstheme="minorHAnsi"/>
          <w:sz w:val="24"/>
        </w:rPr>
        <w:t>The Freeman Heart and Lung Transplant Association (F</w:t>
      </w:r>
      <w:r w:rsidRPr="00D55442">
        <w:rPr>
          <w:rFonts w:asciiTheme="minorHAnsi" w:hAnsiTheme="minorHAnsi" w:cstheme="minorHAnsi"/>
          <w:sz w:val="24"/>
        </w:rPr>
        <w:t>HLTA</w:t>
      </w:r>
      <w:r>
        <w:rPr>
          <w:rFonts w:asciiTheme="minorHAnsi" w:hAnsiTheme="minorHAnsi" w:cstheme="minorHAnsi"/>
          <w:sz w:val="24"/>
        </w:rPr>
        <w:t>)</w:t>
      </w:r>
      <w:r w:rsidRPr="00D55442">
        <w:rPr>
          <w:rFonts w:asciiTheme="minorHAnsi" w:hAnsiTheme="minorHAnsi" w:cstheme="minorHAnsi"/>
          <w:sz w:val="24"/>
        </w:rPr>
        <w:t xml:space="preserve"> is committed to being open, honest and accountable.   It encourages a free and open culture in its dealings between the Trustees</w:t>
      </w:r>
      <w:r>
        <w:rPr>
          <w:rFonts w:asciiTheme="minorHAnsi" w:hAnsiTheme="minorHAnsi" w:cstheme="minorHAnsi"/>
          <w:sz w:val="24"/>
        </w:rPr>
        <w:t>, members</w:t>
      </w:r>
      <w:r w:rsidRPr="00D55442">
        <w:rPr>
          <w:rFonts w:asciiTheme="minorHAnsi" w:hAnsiTheme="minorHAnsi" w:cstheme="minorHAnsi"/>
          <w:sz w:val="24"/>
        </w:rPr>
        <w:t xml:space="preserve"> and those volunteer</w:t>
      </w:r>
      <w:r>
        <w:rPr>
          <w:rFonts w:asciiTheme="minorHAnsi" w:hAnsiTheme="minorHAnsi" w:cstheme="minorHAnsi"/>
          <w:sz w:val="24"/>
        </w:rPr>
        <w:t xml:space="preserve">ing for </w:t>
      </w:r>
      <w:r w:rsidRPr="00D55442">
        <w:rPr>
          <w:rFonts w:asciiTheme="minorHAnsi" w:hAnsiTheme="minorHAnsi" w:cstheme="minorHAnsi"/>
          <w:sz w:val="24"/>
        </w:rPr>
        <w:t>the FHLTA</w:t>
      </w:r>
      <w:r>
        <w:rPr>
          <w:rFonts w:asciiTheme="minorHAnsi" w:hAnsiTheme="minorHAnsi" w:cstheme="minorHAnsi"/>
          <w:sz w:val="24"/>
        </w:rPr>
        <w:t>.</w:t>
      </w:r>
      <w:r w:rsidRPr="00D55442">
        <w:rPr>
          <w:rFonts w:asciiTheme="minorHAnsi" w:hAnsiTheme="minorHAnsi" w:cstheme="minorHAnsi"/>
          <w:sz w:val="24"/>
        </w:rPr>
        <w:t xml:space="preserve"> </w:t>
      </w:r>
    </w:p>
    <w:p w14:paraId="320F3C4A" w14:textId="71C000B3"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This policy aims to help the Trustees</w:t>
      </w:r>
      <w:r>
        <w:rPr>
          <w:rFonts w:asciiTheme="minorHAnsi" w:hAnsiTheme="minorHAnsi" w:cstheme="minorHAnsi"/>
          <w:sz w:val="24"/>
        </w:rPr>
        <w:t>, members</w:t>
      </w:r>
      <w:r w:rsidRPr="00D55442">
        <w:rPr>
          <w:rFonts w:asciiTheme="minorHAnsi" w:hAnsiTheme="minorHAnsi" w:cstheme="minorHAnsi"/>
          <w:sz w:val="24"/>
        </w:rPr>
        <w:t xml:space="preserve"> and volunteers to raise any serious concerns they may have about </w:t>
      </w:r>
      <w:r>
        <w:rPr>
          <w:rFonts w:asciiTheme="minorHAnsi" w:hAnsiTheme="minorHAnsi" w:cstheme="minorHAnsi"/>
          <w:sz w:val="24"/>
        </w:rPr>
        <w:t xml:space="preserve">individuals within the FHLTA </w:t>
      </w:r>
      <w:r w:rsidRPr="00D55442">
        <w:rPr>
          <w:rFonts w:asciiTheme="minorHAnsi" w:hAnsiTheme="minorHAnsi" w:cstheme="minorHAnsi"/>
          <w:sz w:val="24"/>
        </w:rPr>
        <w:t xml:space="preserve">with confidence and without having to worry about being victimised, discriminated against or disadvantaged in any way as a result.   </w:t>
      </w:r>
    </w:p>
    <w:p w14:paraId="0D88AB44" w14:textId="57C86B3D" w:rsidR="00D55442" w:rsidRPr="00D55442" w:rsidRDefault="00D55442" w:rsidP="00D55442">
      <w:pPr>
        <w:pStyle w:val="BodyText"/>
        <w:spacing w:before="120" w:after="0"/>
        <w:rPr>
          <w:rFonts w:asciiTheme="minorHAnsi" w:hAnsiTheme="minorHAnsi" w:cstheme="minorHAnsi"/>
          <w:b/>
          <w:bCs/>
          <w:sz w:val="24"/>
        </w:rPr>
      </w:pPr>
      <w:r w:rsidRPr="00D55442">
        <w:rPr>
          <w:rFonts w:asciiTheme="minorHAnsi" w:hAnsiTheme="minorHAnsi" w:cstheme="minorHAnsi"/>
          <w:sz w:val="24"/>
        </w:rPr>
        <w:t xml:space="preserve">It is written in the context of the Public Interest Disclosure Act 1998 </w:t>
      </w:r>
      <w:r w:rsidR="003661CB">
        <w:rPr>
          <w:rFonts w:asciiTheme="minorHAnsi" w:hAnsiTheme="minorHAnsi" w:cstheme="minorHAnsi"/>
          <w:sz w:val="24"/>
        </w:rPr>
        <w:t>although this act does not protect volunteers in the same way that it protects employees.  This is simply guidance on “blowing th</w:t>
      </w:r>
      <w:r w:rsidRPr="00D55442">
        <w:rPr>
          <w:rFonts w:asciiTheme="minorHAnsi" w:hAnsiTheme="minorHAnsi" w:cstheme="minorHAnsi"/>
          <w:sz w:val="24"/>
        </w:rPr>
        <w:t xml:space="preserve">e whistle’ on malpractices within </w:t>
      </w:r>
      <w:r w:rsidR="00092B5A">
        <w:rPr>
          <w:rFonts w:asciiTheme="minorHAnsi" w:hAnsiTheme="minorHAnsi" w:cstheme="minorHAnsi"/>
          <w:sz w:val="24"/>
        </w:rPr>
        <w:t>an</w:t>
      </w:r>
      <w:r w:rsidRPr="00D55442">
        <w:rPr>
          <w:rFonts w:asciiTheme="minorHAnsi" w:hAnsiTheme="minorHAnsi" w:cstheme="minorHAnsi"/>
          <w:sz w:val="24"/>
        </w:rPr>
        <w:t xml:space="preserve"> organisation.</w:t>
      </w:r>
    </w:p>
    <w:p w14:paraId="4F1F1503" w14:textId="77777777" w:rsidR="00D55442" w:rsidRPr="00092B5A"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092B5A">
        <w:rPr>
          <w:rFonts w:asciiTheme="minorHAnsi" w:hAnsiTheme="minorHAnsi" w:cstheme="minorHAnsi"/>
          <w:b/>
          <w:bCs/>
          <w:color w:val="auto"/>
          <w:sz w:val="28"/>
          <w:szCs w:val="28"/>
        </w:rPr>
        <w:t>What types of concerns?</w:t>
      </w:r>
    </w:p>
    <w:p w14:paraId="7675EE9A" w14:textId="77D12082"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Th</w:t>
      </w:r>
      <w:r>
        <w:rPr>
          <w:rFonts w:asciiTheme="minorHAnsi" w:hAnsiTheme="minorHAnsi" w:cstheme="minorHAnsi"/>
          <w:sz w:val="24"/>
        </w:rPr>
        <w:t>e</w:t>
      </w:r>
      <w:r w:rsidRPr="00D55442">
        <w:rPr>
          <w:rFonts w:asciiTheme="minorHAnsi" w:hAnsiTheme="minorHAnsi" w:cstheme="minorHAnsi"/>
          <w:sz w:val="24"/>
        </w:rPr>
        <w:t xml:space="preserve"> policy is intended to deal with serious or sensitive concerns about wrongdoings such as the following:</w:t>
      </w:r>
    </w:p>
    <w:p w14:paraId="254F73F9"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 criminal offence</w:t>
      </w:r>
    </w:p>
    <w:p w14:paraId="7420CBD4"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 failure to comply with any legal obligation</w:t>
      </w:r>
    </w:p>
    <w:p w14:paraId="293882F2"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 failure in the protection of children or vulnerable adults</w:t>
      </w:r>
    </w:p>
    <w:p w14:paraId="78044C5C"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 miscarriage of justice</w:t>
      </w:r>
    </w:p>
    <w:p w14:paraId="57F26C71"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 health and safety risk to an individual</w:t>
      </w:r>
    </w:p>
    <w:p w14:paraId="0A37112F"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damage to the environment</w:t>
      </w:r>
    </w:p>
    <w:p w14:paraId="7D9ADB49"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or concealment of the above.</w:t>
      </w:r>
    </w:p>
    <w:p w14:paraId="38DB8DF5"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It is not necessary for individuals who raise the concern to prove the wrongdoing that is alleged to have occurred or is likely to occur.</w:t>
      </w:r>
    </w:p>
    <w:p w14:paraId="59E1D561" w14:textId="14AD7933"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However</w:t>
      </w:r>
      <w:r>
        <w:rPr>
          <w:rFonts w:asciiTheme="minorHAnsi" w:hAnsiTheme="minorHAnsi" w:cstheme="minorHAnsi"/>
          <w:sz w:val="24"/>
        </w:rPr>
        <w:t>,</w:t>
      </w:r>
      <w:r w:rsidRPr="00D55442">
        <w:rPr>
          <w:rFonts w:asciiTheme="minorHAnsi" w:hAnsiTheme="minorHAnsi" w:cstheme="minorHAnsi"/>
          <w:sz w:val="24"/>
        </w:rPr>
        <w:t xml:space="preserve"> if an individual knowingly or maliciously makes an untrue allegation (</w:t>
      </w:r>
      <w:r w:rsidR="00AB12E5" w:rsidRPr="00D55442">
        <w:rPr>
          <w:rFonts w:asciiTheme="minorHAnsi" w:hAnsiTheme="minorHAnsi" w:cstheme="minorHAnsi"/>
          <w:i/>
          <w:iCs/>
          <w:sz w:val="24"/>
        </w:rPr>
        <w:t>e.g.</w:t>
      </w:r>
      <w:r w:rsidRPr="00D55442">
        <w:rPr>
          <w:rFonts w:asciiTheme="minorHAnsi" w:hAnsiTheme="minorHAnsi" w:cstheme="minorHAnsi"/>
          <w:i/>
          <w:iCs/>
          <w:sz w:val="24"/>
        </w:rPr>
        <w:t>:</w:t>
      </w:r>
      <w:r w:rsidRPr="00D55442">
        <w:rPr>
          <w:rFonts w:asciiTheme="minorHAnsi" w:hAnsiTheme="minorHAnsi" w:cstheme="minorHAnsi"/>
          <w:sz w:val="24"/>
        </w:rPr>
        <w:t xml:space="preserve"> </w:t>
      </w:r>
      <w:r w:rsidR="00AB12E5" w:rsidRPr="00D55442">
        <w:rPr>
          <w:rFonts w:asciiTheme="minorHAnsi" w:hAnsiTheme="minorHAnsi" w:cstheme="minorHAnsi"/>
          <w:sz w:val="24"/>
        </w:rPr>
        <w:t>to</w:t>
      </w:r>
      <w:r w:rsidRPr="00D55442">
        <w:rPr>
          <w:rFonts w:asciiTheme="minorHAnsi" w:hAnsiTheme="minorHAnsi" w:cstheme="minorHAnsi"/>
          <w:sz w:val="24"/>
        </w:rPr>
        <w:t xml:space="preserve"> cause disruption with</w:t>
      </w:r>
      <w:r>
        <w:rPr>
          <w:rFonts w:asciiTheme="minorHAnsi" w:hAnsiTheme="minorHAnsi" w:cstheme="minorHAnsi"/>
          <w:sz w:val="24"/>
        </w:rPr>
        <w:t>in</w:t>
      </w:r>
      <w:r w:rsidRPr="00D55442">
        <w:rPr>
          <w:rFonts w:asciiTheme="minorHAnsi" w:hAnsiTheme="minorHAnsi" w:cstheme="minorHAnsi"/>
          <w:sz w:val="24"/>
        </w:rPr>
        <w:t xml:space="preserve"> FHLTA), </w:t>
      </w:r>
      <w:r>
        <w:rPr>
          <w:rFonts w:asciiTheme="minorHAnsi" w:hAnsiTheme="minorHAnsi" w:cstheme="minorHAnsi"/>
          <w:sz w:val="24"/>
        </w:rPr>
        <w:t>the FHLTA</w:t>
      </w:r>
      <w:r w:rsidRPr="00D55442">
        <w:rPr>
          <w:rFonts w:asciiTheme="minorHAnsi" w:hAnsiTheme="minorHAnsi" w:cstheme="minorHAnsi"/>
          <w:sz w:val="24"/>
        </w:rPr>
        <w:t xml:space="preserve"> will take appropriate disciplinary action against them.   It may constitute gross misconduct.</w:t>
      </w:r>
    </w:p>
    <w:p w14:paraId="47C3E139"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Individuals should note that they will not be protected from the consequences of making a disclosure if, by doing so, they commit a criminal offence.</w:t>
      </w:r>
    </w:p>
    <w:p w14:paraId="40A432A1" w14:textId="41223272"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This policy does not deal with any complaints</w:t>
      </w:r>
      <w:r>
        <w:rPr>
          <w:rFonts w:asciiTheme="minorHAnsi" w:hAnsiTheme="minorHAnsi" w:cstheme="minorHAnsi"/>
          <w:sz w:val="24"/>
        </w:rPr>
        <w:t xml:space="preserve">, such matters should be dealt with accordingly in adherence to the FHLTA’s Complaints Policy and Procure.  </w:t>
      </w:r>
      <w:r w:rsidRPr="00D55442">
        <w:rPr>
          <w:rFonts w:asciiTheme="minorHAnsi" w:hAnsiTheme="minorHAnsi" w:cstheme="minorHAnsi"/>
          <w:sz w:val="24"/>
        </w:rPr>
        <w:t xml:space="preserve">staff may have about their employment.   </w:t>
      </w:r>
    </w:p>
    <w:p w14:paraId="76372C0B"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FHLTA Bullying and Harassment policy offers protection to workers against harassment, bullying and discrimination.</w:t>
      </w:r>
    </w:p>
    <w:p w14:paraId="6E95B5FE" w14:textId="3D0AAB69" w:rsidR="00D55442" w:rsidRPr="00092B5A"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092B5A">
        <w:rPr>
          <w:rFonts w:asciiTheme="minorHAnsi" w:hAnsiTheme="minorHAnsi" w:cstheme="minorHAnsi"/>
          <w:b/>
          <w:bCs/>
          <w:color w:val="auto"/>
          <w:sz w:val="28"/>
          <w:szCs w:val="28"/>
        </w:rPr>
        <w:t xml:space="preserve">How to raise a concern </w:t>
      </w:r>
      <w:r w:rsidR="00F02E32" w:rsidRPr="00092B5A">
        <w:rPr>
          <w:rFonts w:asciiTheme="minorHAnsi" w:hAnsiTheme="minorHAnsi" w:cstheme="minorHAnsi"/>
          <w:b/>
          <w:bCs/>
          <w:color w:val="auto"/>
          <w:sz w:val="28"/>
          <w:szCs w:val="28"/>
        </w:rPr>
        <w:t>with</w:t>
      </w:r>
      <w:r w:rsidR="00092B5A" w:rsidRPr="00092B5A">
        <w:rPr>
          <w:rFonts w:asciiTheme="minorHAnsi" w:hAnsiTheme="minorHAnsi" w:cstheme="minorHAnsi"/>
          <w:b/>
          <w:bCs/>
          <w:color w:val="auto"/>
          <w:sz w:val="28"/>
          <w:szCs w:val="28"/>
        </w:rPr>
        <w:t>in</w:t>
      </w:r>
      <w:r w:rsidR="00F02E32" w:rsidRPr="00092B5A">
        <w:rPr>
          <w:rFonts w:asciiTheme="minorHAnsi" w:hAnsiTheme="minorHAnsi" w:cstheme="minorHAnsi"/>
          <w:b/>
          <w:bCs/>
          <w:color w:val="auto"/>
          <w:sz w:val="28"/>
          <w:szCs w:val="28"/>
        </w:rPr>
        <w:t xml:space="preserve"> the </w:t>
      </w:r>
      <w:r w:rsidRPr="00092B5A">
        <w:rPr>
          <w:rFonts w:asciiTheme="minorHAnsi" w:hAnsiTheme="minorHAnsi" w:cstheme="minorHAnsi"/>
          <w:b/>
          <w:bCs/>
          <w:color w:val="auto"/>
          <w:sz w:val="28"/>
          <w:szCs w:val="28"/>
        </w:rPr>
        <w:t>FHLTA</w:t>
      </w:r>
    </w:p>
    <w:p w14:paraId="0073D42D" w14:textId="53440AF6"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The officer designated to handle whistleblowing concerns is </w:t>
      </w:r>
      <w:r w:rsidR="00F02E32">
        <w:rPr>
          <w:rFonts w:asciiTheme="minorHAnsi" w:hAnsiTheme="minorHAnsi" w:cstheme="minorHAnsi"/>
          <w:sz w:val="24"/>
        </w:rPr>
        <w:t xml:space="preserve">the adopted Chairperson, currently </w:t>
      </w:r>
      <w:r w:rsidRPr="00D55442">
        <w:rPr>
          <w:rFonts w:asciiTheme="minorHAnsi" w:hAnsiTheme="minorHAnsi" w:cstheme="minorHAnsi"/>
          <w:sz w:val="24"/>
        </w:rPr>
        <w:t xml:space="preserve">Adele Lambert and </w:t>
      </w:r>
      <w:r w:rsidR="00F02E32">
        <w:rPr>
          <w:rFonts w:asciiTheme="minorHAnsi" w:hAnsiTheme="minorHAnsi" w:cstheme="minorHAnsi"/>
          <w:sz w:val="24"/>
        </w:rPr>
        <w:t>as Chairperson is the FHLTA’s</w:t>
      </w:r>
      <w:r w:rsidRPr="00D55442">
        <w:rPr>
          <w:rFonts w:asciiTheme="minorHAnsi" w:hAnsiTheme="minorHAnsi" w:cstheme="minorHAnsi"/>
          <w:sz w:val="24"/>
        </w:rPr>
        <w:t xml:space="preserve"> Whistleblowing Officer.</w:t>
      </w:r>
    </w:p>
    <w:p w14:paraId="769F8269" w14:textId="6FC395FE"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lastRenderedPageBreak/>
        <w:t xml:space="preserve">Individuals should in most cases, first report their concern to </w:t>
      </w:r>
      <w:r w:rsidR="00F02E32">
        <w:rPr>
          <w:rFonts w:asciiTheme="minorHAnsi" w:hAnsiTheme="minorHAnsi" w:cstheme="minorHAnsi"/>
          <w:sz w:val="24"/>
        </w:rPr>
        <w:t xml:space="preserve">the Whistleblowing Officer </w:t>
      </w:r>
      <w:r w:rsidRPr="00D55442">
        <w:rPr>
          <w:rFonts w:asciiTheme="minorHAnsi" w:hAnsiTheme="minorHAnsi" w:cstheme="minorHAnsi"/>
          <w:sz w:val="24"/>
        </w:rPr>
        <w:t xml:space="preserve">who is expected to respond to that matter.   If the relevant person cannot deal with the matter, he or she will refer the concern to </w:t>
      </w:r>
      <w:r w:rsidR="00F02E32">
        <w:rPr>
          <w:rFonts w:asciiTheme="minorHAnsi" w:hAnsiTheme="minorHAnsi" w:cstheme="minorHAnsi"/>
          <w:sz w:val="24"/>
        </w:rPr>
        <w:t>the Vice Chairperson, currently Jon Comb</w:t>
      </w:r>
      <w:r w:rsidRPr="00D55442">
        <w:rPr>
          <w:rFonts w:asciiTheme="minorHAnsi" w:hAnsiTheme="minorHAnsi" w:cstheme="minorHAnsi"/>
          <w:sz w:val="24"/>
        </w:rPr>
        <w:t>.</w:t>
      </w:r>
      <w:r w:rsidR="00F02E32">
        <w:rPr>
          <w:rFonts w:asciiTheme="minorHAnsi" w:hAnsiTheme="minorHAnsi" w:cstheme="minorHAnsi"/>
          <w:sz w:val="24"/>
        </w:rPr>
        <w:t xml:space="preserve"> </w:t>
      </w:r>
      <w:r w:rsidRPr="00D55442">
        <w:rPr>
          <w:rFonts w:asciiTheme="minorHAnsi" w:hAnsiTheme="minorHAnsi" w:cstheme="minorHAnsi"/>
          <w:sz w:val="24"/>
        </w:rPr>
        <w:t xml:space="preserve"> </w:t>
      </w:r>
    </w:p>
    <w:p w14:paraId="605ADB99" w14:textId="3EC6D9ED"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Dependent on the seriousness and sensitivity of the matter, and who is suspected of the wrongdoing, the individual can, if </w:t>
      </w:r>
      <w:r w:rsidR="00F02E32">
        <w:rPr>
          <w:rFonts w:asciiTheme="minorHAnsi" w:hAnsiTheme="minorHAnsi" w:cstheme="minorHAnsi"/>
          <w:sz w:val="24"/>
        </w:rPr>
        <w:t>possible</w:t>
      </w:r>
      <w:r w:rsidR="00092B5A">
        <w:rPr>
          <w:rFonts w:asciiTheme="minorHAnsi" w:hAnsiTheme="minorHAnsi" w:cstheme="minorHAnsi"/>
          <w:sz w:val="24"/>
        </w:rPr>
        <w:t>,</w:t>
      </w:r>
      <w:r w:rsidRPr="00D55442">
        <w:rPr>
          <w:rFonts w:asciiTheme="minorHAnsi" w:hAnsiTheme="minorHAnsi" w:cstheme="minorHAnsi"/>
          <w:sz w:val="24"/>
        </w:rPr>
        <w:t xml:space="preserve"> report directly to the Whistleblowing Officer.   If the matter concerns the Whistleblowing Officer, it </w:t>
      </w:r>
      <w:r w:rsidR="00F02E32">
        <w:rPr>
          <w:rFonts w:asciiTheme="minorHAnsi" w:hAnsiTheme="minorHAnsi" w:cstheme="minorHAnsi"/>
          <w:sz w:val="24"/>
        </w:rPr>
        <w:t>can be raised with any of the FHLTA Trustees.</w:t>
      </w:r>
    </w:p>
    <w:p w14:paraId="18A75FB7"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Individuals are encouraged to raise their concerns in writing where possible, setting out the background and history of their concerns (giving names, dates and places where possible) and indicating the reasons for their concerns.   </w:t>
      </w:r>
    </w:p>
    <w:p w14:paraId="680FAEDE" w14:textId="6F6C294C" w:rsidR="00D55442" w:rsidRPr="00D55442" w:rsidRDefault="00F02E32" w:rsidP="00D55442">
      <w:pPr>
        <w:pStyle w:val="BodyText"/>
        <w:spacing w:before="120" w:after="0"/>
        <w:rPr>
          <w:rFonts w:asciiTheme="minorHAnsi" w:hAnsiTheme="minorHAnsi" w:cstheme="minorHAnsi"/>
          <w:sz w:val="24"/>
        </w:rPr>
      </w:pPr>
      <w:r>
        <w:rPr>
          <w:rFonts w:asciiTheme="minorHAnsi" w:hAnsiTheme="minorHAnsi" w:cstheme="minorHAnsi"/>
          <w:sz w:val="24"/>
        </w:rPr>
        <w:t>Trustees, members or volunteers of the FHLTA are invited to bring a person of their choosing, for support, to any meeting or interviews held about the concerns raised providing this person is not involved in the process.</w:t>
      </w:r>
    </w:p>
    <w:p w14:paraId="2F9E214D" w14:textId="2EF7732D" w:rsidR="009A5DC1" w:rsidRPr="00D55442" w:rsidRDefault="00D55442" w:rsidP="009A5DC1">
      <w:pPr>
        <w:pStyle w:val="BodyText"/>
        <w:spacing w:before="120" w:after="0"/>
        <w:rPr>
          <w:rFonts w:asciiTheme="minorHAnsi" w:hAnsiTheme="minorHAnsi" w:cstheme="minorHAnsi"/>
          <w:sz w:val="24"/>
        </w:rPr>
      </w:pPr>
      <w:r w:rsidRPr="00D55442">
        <w:rPr>
          <w:rFonts w:asciiTheme="minorHAnsi" w:hAnsiTheme="minorHAnsi" w:cstheme="minorHAnsi"/>
          <w:sz w:val="24"/>
        </w:rPr>
        <w:t>If any individual is unsure whether to use this procedure or they want independent advice</w:t>
      </w:r>
      <w:r w:rsidR="009A5DC1" w:rsidRPr="00D55442">
        <w:rPr>
          <w:rFonts w:asciiTheme="minorHAnsi" w:hAnsiTheme="minorHAnsi" w:cstheme="minorHAnsi"/>
          <w:sz w:val="24"/>
        </w:rPr>
        <w:t xml:space="preserve"> on how and with whom to raise a concern about malpractice.</w:t>
      </w:r>
    </w:p>
    <w:p w14:paraId="3CB46E1D" w14:textId="607065C1"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they should contact:</w:t>
      </w:r>
    </w:p>
    <w:p w14:paraId="5FA134E4" w14:textId="1117E6B2" w:rsidR="00092B5A" w:rsidRDefault="00092B5A" w:rsidP="00092B5A">
      <w:pPr>
        <w:pStyle w:val="Textbodybullet"/>
        <w:numPr>
          <w:ilvl w:val="0"/>
          <w:numId w:val="23"/>
        </w:numPr>
        <w:spacing w:before="60" w:after="0"/>
        <w:ind w:left="714" w:right="-472" w:hanging="357"/>
        <w:rPr>
          <w:rFonts w:asciiTheme="minorHAnsi" w:hAnsiTheme="minorHAnsi" w:cstheme="minorHAnsi"/>
          <w:sz w:val="24"/>
        </w:rPr>
      </w:pPr>
      <w:r>
        <w:rPr>
          <w:rFonts w:asciiTheme="minorHAnsi" w:hAnsiTheme="minorHAnsi" w:cstheme="minorHAnsi"/>
          <w:sz w:val="24"/>
        </w:rPr>
        <w:t xml:space="preserve">Charity Commission 0300 066 9191 or – </w:t>
      </w:r>
      <w:r w:rsidR="00AB12E5">
        <w:rPr>
          <w:rFonts w:asciiTheme="minorHAnsi" w:hAnsiTheme="minorHAnsi" w:cstheme="minorHAnsi"/>
          <w:sz w:val="24"/>
        </w:rPr>
        <w:t>Email: whistleblowing@charitycommission.gov.uk</w:t>
      </w:r>
    </w:p>
    <w:p w14:paraId="7F050411" w14:textId="311A7903" w:rsidR="00F02E32" w:rsidRPr="00D55442" w:rsidRDefault="00F02E32" w:rsidP="00D55442">
      <w:pPr>
        <w:pStyle w:val="Textbodybullet"/>
        <w:numPr>
          <w:ilvl w:val="0"/>
          <w:numId w:val="23"/>
        </w:numPr>
        <w:spacing w:before="60" w:after="0"/>
        <w:ind w:left="714" w:hanging="357"/>
        <w:rPr>
          <w:rFonts w:asciiTheme="minorHAnsi" w:hAnsiTheme="minorHAnsi" w:cstheme="minorHAnsi"/>
          <w:sz w:val="24"/>
        </w:rPr>
      </w:pPr>
      <w:r>
        <w:rPr>
          <w:rFonts w:asciiTheme="minorHAnsi" w:hAnsiTheme="minorHAnsi" w:cstheme="minorHAnsi"/>
          <w:sz w:val="24"/>
        </w:rPr>
        <w:t xml:space="preserve">Citizens Advice </w:t>
      </w:r>
      <w:r w:rsidR="009A5DC1">
        <w:rPr>
          <w:rFonts w:asciiTheme="minorHAnsi" w:hAnsiTheme="minorHAnsi" w:cstheme="minorHAnsi"/>
          <w:sz w:val="24"/>
        </w:rPr>
        <w:t>helpline on 0800 144 8848</w:t>
      </w:r>
    </w:p>
    <w:p w14:paraId="4F36A47E" w14:textId="77777777" w:rsidR="00D55442" w:rsidRPr="00D55442" w:rsidRDefault="00D55442" w:rsidP="00D55442">
      <w:pPr>
        <w:pStyle w:val="BodyText"/>
        <w:spacing w:before="120" w:after="0"/>
        <w:rPr>
          <w:rFonts w:asciiTheme="minorHAnsi" w:hAnsiTheme="minorHAnsi" w:cstheme="minorHAnsi"/>
          <w:b/>
          <w:bCs/>
          <w:sz w:val="24"/>
        </w:rPr>
      </w:pPr>
      <w:r w:rsidRPr="00D55442">
        <w:rPr>
          <w:rFonts w:asciiTheme="minorHAnsi" w:hAnsiTheme="minorHAnsi" w:cstheme="minorHAnsi"/>
          <w:sz w:val="24"/>
        </w:rPr>
        <w:t>If the individual reasonably believes that the matter relates wholly or mainly to the conduct of a person or body other than FHLTA or any other matter for which a person or body other than FHLTA has legal responsibility, the disclosure should be made to that other person or body.</w:t>
      </w:r>
    </w:p>
    <w:p w14:paraId="7E51475E" w14:textId="77777777" w:rsidR="00D55442" w:rsidRPr="00092B5A"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092B5A">
        <w:rPr>
          <w:rFonts w:asciiTheme="minorHAnsi" w:hAnsiTheme="minorHAnsi" w:cstheme="minorHAnsi"/>
          <w:b/>
          <w:bCs/>
          <w:color w:val="auto"/>
          <w:sz w:val="28"/>
          <w:szCs w:val="28"/>
        </w:rPr>
        <w:t>Protecting the individual raising the concern</w:t>
      </w:r>
    </w:p>
    <w:p w14:paraId="0F2BD9F0"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If an individual raises a concern which they believe to be true, FHLTA will take appropriate action to protect the individual from any harassment, victimisation or bullying.   Members who raise a genuine concern under this policy will not be at risk of losing their position, nor will it influence any unrelated disciplinary action or procedures.</w:t>
      </w:r>
    </w:p>
    <w:p w14:paraId="2054782C" w14:textId="359768ED"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The matter will be treated confidentially if the individual requests it and their name or position will be not be revealed without their permission unless FHLTA has </w:t>
      </w:r>
      <w:r w:rsidR="009A5DC1">
        <w:rPr>
          <w:rFonts w:asciiTheme="minorHAnsi" w:hAnsiTheme="minorHAnsi" w:cstheme="minorHAnsi"/>
          <w:sz w:val="24"/>
        </w:rPr>
        <w:t>a legal obligation to do so</w:t>
      </w:r>
      <w:r w:rsidRPr="00D55442">
        <w:rPr>
          <w:rFonts w:asciiTheme="minorHAnsi" w:hAnsiTheme="minorHAnsi" w:cstheme="minorHAnsi"/>
          <w:sz w:val="24"/>
        </w:rPr>
        <w:t>.   If</w:t>
      </w:r>
      <w:r w:rsidR="009A5DC1">
        <w:rPr>
          <w:rFonts w:asciiTheme="minorHAnsi" w:hAnsiTheme="minorHAnsi" w:cstheme="minorHAnsi"/>
          <w:sz w:val="24"/>
        </w:rPr>
        <w:t>,</w:t>
      </w:r>
      <w:r w:rsidRPr="00D55442">
        <w:rPr>
          <w:rFonts w:asciiTheme="minorHAnsi" w:hAnsiTheme="minorHAnsi" w:cstheme="minorHAnsi"/>
          <w:sz w:val="24"/>
        </w:rPr>
        <w:t xml:space="preserve"> in other circumstances</w:t>
      </w:r>
      <w:r w:rsidR="009A5DC1">
        <w:rPr>
          <w:rFonts w:asciiTheme="minorHAnsi" w:hAnsiTheme="minorHAnsi" w:cstheme="minorHAnsi"/>
          <w:sz w:val="24"/>
        </w:rPr>
        <w:t>,</w:t>
      </w:r>
      <w:r w:rsidRPr="00D55442">
        <w:rPr>
          <w:rFonts w:asciiTheme="minorHAnsi" w:hAnsiTheme="minorHAnsi" w:cstheme="minorHAnsi"/>
          <w:sz w:val="24"/>
        </w:rPr>
        <w:t xml:space="preserve"> the concern cannot be resolved without revealing the individual’s identity, the Whistleblowing Officer </w:t>
      </w:r>
      <w:r w:rsidR="009A5DC1">
        <w:rPr>
          <w:rFonts w:asciiTheme="minorHAnsi" w:hAnsiTheme="minorHAnsi" w:cstheme="minorHAnsi"/>
          <w:sz w:val="24"/>
        </w:rPr>
        <w:t xml:space="preserve">or Trustee dealing with the concern </w:t>
      </w:r>
      <w:r w:rsidRPr="00D55442">
        <w:rPr>
          <w:rFonts w:asciiTheme="minorHAnsi" w:hAnsiTheme="minorHAnsi" w:cstheme="minorHAnsi"/>
          <w:sz w:val="24"/>
        </w:rPr>
        <w:t xml:space="preserve">will discuss with the individual whether </w:t>
      </w:r>
      <w:r w:rsidR="009A5DC1">
        <w:rPr>
          <w:rFonts w:asciiTheme="minorHAnsi" w:hAnsiTheme="minorHAnsi" w:cstheme="minorHAnsi"/>
          <w:sz w:val="24"/>
        </w:rPr>
        <w:t xml:space="preserve">to </w:t>
      </w:r>
      <w:r w:rsidRPr="00D55442">
        <w:rPr>
          <w:rFonts w:asciiTheme="minorHAnsi" w:hAnsiTheme="minorHAnsi" w:cstheme="minorHAnsi"/>
          <w:sz w:val="24"/>
        </w:rPr>
        <w:t xml:space="preserve">and how to proceed.   </w:t>
      </w:r>
    </w:p>
    <w:p w14:paraId="6392FB5C" w14:textId="1042C069"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Concerns raised anonymously tend to be far less </w:t>
      </w:r>
      <w:r w:rsidR="00AB12E5" w:rsidRPr="00D55442">
        <w:rPr>
          <w:rFonts w:asciiTheme="minorHAnsi" w:hAnsiTheme="minorHAnsi" w:cstheme="minorHAnsi"/>
          <w:sz w:val="24"/>
        </w:rPr>
        <w:t>effective,</w:t>
      </w:r>
      <w:r w:rsidRPr="00D55442">
        <w:rPr>
          <w:rFonts w:asciiTheme="minorHAnsi" w:hAnsiTheme="minorHAnsi" w:cstheme="minorHAnsi"/>
          <w:sz w:val="24"/>
        </w:rPr>
        <w:t xml:space="preserve"> but the Whistleblowing Officer will decide </w:t>
      </w:r>
      <w:r w:rsidR="00AB12E5" w:rsidRPr="00D55442">
        <w:rPr>
          <w:rFonts w:asciiTheme="minorHAnsi" w:hAnsiTheme="minorHAnsi" w:cstheme="minorHAnsi"/>
          <w:sz w:val="24"/>
        </w:rPr>
        <w:t>whether</w:t>
      </w:r>
      <w:r w:rsidRPr="00D55442">
        <w:rPr>
          <w:rFonts w:asciiTheme="minorHAnsi" w:hAnsiTheme="minorHAnsi" w:cstheme="minorHAnsi"/>
          <w:sz w:val="24"/>
        </w:rPr>
        <w:t xml:space="preserve"> to consider the matter </w:t>
      </w:r>
      <w:proofErr w:type="gramStart"/>
      <w:r w:rsidRPr="00D55442">
        <w:rPr>
          <w:rFonts w:asciiTheme="minorHAnsi" w:hAnsiTheme="minorHAnsi" w:cstheme="minorHAnsi"/>
          <w:sz w:val="24"/>
        </w:rPr>
        <w:t>taking into account</w:t>
      </w:r>
      <w:proofErr w:type="gramEnd"/>
      <w:r w:rsidRPr="00D55442">
        <w:rPr>
          <w:rFonts w:asciiTheme="minorHAnsi" w:hAnsiTheme="minorHAnsi" w:cstheme="minorHAnsi"/>
          <w:sz w:val="24"/>
        </w:rPr>
        <w:t>:</w:t>
      </w:r>
    </w:p>
    <w:p w14:paraId="18C1EE49"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the seriousness of the matter;</w:t>
      </w:r>
    </w:p>
    <w:p w14:paraId="62DF35A4"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whether the concern is believable;</w:t>
      </w:r>
    </w:p>
    <w:p w14:paraId="2819CD97"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whether an investigation can be carried out based on the information provided.</w:t>
      </w:r>
    </w:p>
    <w:p w14:paraId="00F0DABF" w14:textId="0CA10FD6" w:rsidR="00D55442" w:rsidRPr="00092B5A"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092B5A">
        <w:rPr>
          <w:rFonts w:asciiTheme="minorHAnsi" w:hAnsiTheme="minorHAnsi" w:cstheme="minorHAnsi"/>
          <w:b/>
          <w:bCs/>
          <w:color w:val="auto"/>
          <w:sz w:val="28"/>
          <w:szCs w:val="28"/>
        </w:rPr>
        <w:t>How FHLTA</w:t>
      </w:r>
      <w:r w:rsidR="009A5DC1" w:rsidRPr="00092B5A">
        <w:rPr>
          <w:rFonts w:asciiTheme="minorHAnsi" w:hAnsiTheme="minorHAnsi" w:cstheme="minorHAnsi"/>
          <w:b/>
          <w:bCs/>
          <w:color w:val="auto"/>
          <w:sz w:val="28"/>
          <w:szCs w:val="28"/>
        </w:rPr>
        <w:t xml:space="preserve"> </w:t>
      </w:r>
      <w:r w:rsidRPr="00092B5A">
        <w:rPr>
          <w:rFonts w:asciiTheme="minorHAnsi" w:hAnsiTheme="minorHAnsi" w:cstheme="minorHAnsi"/>
          <w:b/>
          <w:bCs/>
          <w:color w:val="auto"/>
          <w:sz w:val="28"/>
          <w:szCs w:val="28"/>
        </w:rPr>
        <w:t>will deal with the concern</w:t>
      </w:r>
    </w:p>
    <w:p w14:paraId="33049067"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How the concern will be dealt with, will depend on what it involves.   It is likely that further enquiries and/or investigation will be necessary.   The concern may be investigated by the FHLTA Whistleblowing Officer, the Trustees, through the disciplinary process or it may be </w:t>
      </w:r>
      <w:r w:rsidRPr="00D55442">
        <w:rPr>
          <w:rFonts w:asciiTheme="minorHAnsi" w:hAnsiTheme="minorHAnsi" w:cstheme="minorHAnsi"/>
          <w:sz w:val="24"/>
        </w:rPr>
        <w:lastRenderedPageBreak/>
        <w:t>referred to the police, other agencies such as Social Services, an external auditor or an independent investigator.</w:t>
      </w:r>
    </w:p>
    <w:p w14:paraId="5124900B"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It may be necessary for the individual to give evidence in criminal or disciplinary proceedings.</w:t>
      </w:r>
    </w:p>
    <w:p w14:paraId="02B6C610"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FHLTA will give the individual feedback on the progress and outcome of any investigation wherever possible.</w:t>
      </w:r>
    </w:p>
    <w:p w14:paraId="38D8F754" w14:textId="1FCE37EF" w:rsidR="00D55442" w:rsidRPr="00D55442" w:rsidRDefault="00D55442" w:rsidP="00D55442">
      <w:pPr>
        <w:pStyle w:val="BodyText"/>
        <w:spacing w:before="120" w:after="0"/>
        <w:rPr>
          <w:rFonts w:asciiTheme="minorHAnsi" w:eastAsia="Wingdings" w:hAnsiTheme="minorHAnsi" w:cstheme="minorHAnsi"/>
          <w:sz w:val="24"/>
        </w:rPr>
      </w:pPr>
      <w:r w:rsidRPr="00D55442">
        <w:rPr>
          <w:rFonts w:asciiTheme="minorHAnsi" w:hAnsiTheme="minorHAnsi" w:cstheme="minorHAnsi"/>
          <w:sz w:val="24"/>
        </w:rPr>
        <w:t xml:space="preserve">If the suspicions are not confirmed by an investigation, the matter will be closed.   </w:t>
      </w:r>
      <w:r w:rsidR="009A5DC1">
        <w:rPr>
          <w:rFonts w:asciiTheme="minorHAnsi" w:hAnsiTheme="minorHAnsi" w:cstheme="minorHAnsi"/>
          <w:sz w:val="24"/>
        </w:rPr>
        <w:t>Individuals</w:t>
      </w:r>
      <w:r w:rsidRPr="00D55442">
        <w:rPr>
          <w:rFonts w:asciiTheme="minorHAnsi" w:hAnsiTheme="minorHAnsi" w:cstheme="minorHAnsi"/>
          <w:sz w:val="24"/>
        </w:rPr>
        <w:t xml:space="preserve"> will not be treated or regarded any differently for raising the concern, and their confidentiality will continue to be protected.</w:t>
      </w:r>
    </w:p>
    <w:p w14:paraId="76952F1A" w14:textId="77777777" w:rsidR="00D55442" w:rsidRPr="009A5DC1" w:rsidRDefault="00D55442" w:rsidP="00D55442">
      <w:pPr>
        <w:pStyle w:val="Heading1"/>
        <w:keepLines w:val="0"/>
        <w:tabs>
          <w:tab w:val="num" w:pos="432"/>
        </w:tabs>
        <w:suppressAutoHyphens/>
        <w:spacing w:line="240" w:lineRule="auto"/>
        <w:rPr>
          <w:rFonts w:asciiTheme="minorHAnsi" w:eastAsia="Arial Unicode MS" w:hAnsiTheme="minorHAnsi" w:cstheme="minorHAnsi"/>
          <w:b/>
          <w:bCs/>
          <w:color w:val="auto"/>
          <w:sz w:val="36"/>
          <w:szCs w:val="36"/>
        </w:rPr>
      </w:pPr>
      <w:r w:rsidRPr="009A5DC1">
        <w:rPr>
          <w:rFonts w:asciiTheme="minorHAnsi" w:hAnsiTheme="minorHAnsi" w:cstheme="minorHAnsi"/>
          <w:b/>
          <w:bCs/>
          <w:color w:val="auto"/>
          <w:sz w:val="36"/>
          <w:szCs w:val="36"/>
        </w:rPr>
        <w:t>General Guidance</w:t>
      </w:r>
    </w:p>
    <w:p w14:paraId="543CE444" w14:textId="77777777" w:rsidR="00D55442" w:rsidRPr="009A5DC1"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9A5DC1">
        <w:rPr>
          <w:rFonts w:asciiTheme="minorHAnsi" w:hAnsiTheme="minorHAnsi" w:cstheme="minorHAnsi"/>
          <w:b/>
          <w:bCs/>
          <w:color w:val="auto"/>
          <w:sz w:val="28"/>
          <w:szCs w:val="28"/>
        </w:rPr>
        <w:t>What is Whistleblowing?</w:t>
      </w:r>
    </w:p>
    <w:p w14:paraId="3F0DED3A" w14:textId="023AE308"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Whistleblowing, or public interest disclosure, is when a person reports a concern about the improper actions or omissions of </w:t>
      </w:r>
      <w:r w:rsidR="009A5DC1">
        <w:rPr>
          <w:rFonts w:asciiTheme="minorHAnsi" w:hAnsiTheme="minorHAnsi" w:cstheme="minorHAnsi"/>
          <w:sz w:val="24"/>
        </w:rPr>
        <w:t>an individual or body</w:t>
      </w:r>
      <w:r w:rsidRPr="00D55442">
        <w:rPr>
          <w:rFonts w:asciiTheme="minorHAnsi" w:hAnsiTheme="minorHAnsi" w:cstheme="minorHAnsi"/>
          <w:sz w:val="24"/>
        </w:rPr>
        <w:t xml:space="preserve"> which may cause harm to others or to the organisation.   Obvious examples of such improper actions include theft, fraud, abuse, breaches of health &amp; safety.</w:t>
      </w:r>
    </w:p>
    <w:p w14:paraId="1452B2D3" w14:textId="610432F8"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The disclosure should be made ‘in good faith’.   In other words</w:t>
      </w:r>
      <w:r w:rsidR="009A5DC1">
        <w:rPr>
          <w:rFonts w:asciiTheme="minorHAnsi" w:hAnsiTheme="minorHAnsi" w:cstheme="minorHAnsi"/>
          <w:sz w:val="24"/>
        </w:rPr>
        <w:t>,</w:t>
      </w:r>
      <w:r w:rsidRPr="00D55442">
        <w:rPr>
          <w:rFonts w:asciiTheme="minorHAnsi" w:hAnsiTheme="minorHAnsi" w:cstheme="minorHAnsi"/>
          <w:sz w:val="24"/>
        </w:rPr>
        <w:t xml:space="preserve"> the disclosure must be made out of real concern about wrongdoing.   Knowingly and maliciously making false accusations for ulterior motives is not whistleblowing.   The </w:t>
      </w:r>
      <w:r w:rsidR="009A5DC1">
        <w:rPr>
          <w:rFonts w:asciiTheme="minorHAnsi" w:hAnsiTheme="minorHAnsi" w:cstheme="minorHAnsi"/>
          <w:sz w:val="24"/>
        </w:rPr>
        <w:t>“</w:t>
      </w:r>
      <w:r w:rsidR="00AB12E5" w:rsidRPr="00D55442">
        <w:rPr>
          <w:rFonts w:asciiTheme="minorHAnsi" w:hAnsiTheme="minorHAnsi" w:cstheme="minorHAnsi"/>
          <w:sz w:val="24"/>
        </w:rPr>
        <w:t>whistle blower</w:t>
      </w:r>
      <w:r w:rsidR="009A5DC1">
        <w:rPr>
          <w:rFonts w:asciiTheme="minorHAnsi" w:hAnsiTheme="minorHAnsi" w:cstheme="minorHAnsi"/>
          <w:sz w:val="24"/>
        </w:rPr>
        <w:t>”</w:t>
      </w:r>
      <w:r w:rsidRPr="00D55442">
        <w:rPr>
          <w:rFonts w:asciiTheme="minorHAnsi" w:hAnsiTheme="minorHAnsi" w:cstheme="minorHAnsi"/>
          <w:sz w:val="24"/>
        </w:rPr>
        <w:t xml:space="preserve"> should reasonably believe the information and allegation is substantially true, even if the information later turns out to have been incorrect.</w:t>
      </w:r>
    </w:p>
    <w:p w14:paraId="43A2F995" w14:textId="7FBD9074"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Whistleblowing is not the same as making a complaint or raising a grievance, where the individual is saying that they have personally been poorly treated.   A </w:t>
      </w:r>
      <w:r w:rsidR="00AB12E5">
        <w:rPr>
          <w:rFonts w:asciiTheme="minorHAnsi" w:hAnsiTheme="minorHAnsi" w:cstheme="minorHAnsi"/>
          <w:sz w:val="24"/>
        </w:rPr>
        <w:t>W</w:t>
      </w:r>
      <w:r w:rsidR="00AB12E5" w:rsidRPr="00D55442">
        <w:rPr>
          <w:rFonts w:asciiTheme="minorHAnsi" w:hAnsiTheme="minorHAnsi" w:cstheme="minorHAnsi"/>
          <w:sz w:val="24"/>
        </w:rPr>
        <w:t>histle blower</w:t>
      </w:r>
      <w:r w:rsidRPr="00D55442">
        <w:rPr>
          <w:rFonts w:asciiTheme="minorHAnsi" w:hAnsiTheme="minorHAnsi" w:cstheme="minorHAnsi"/>
          <w:sz w:val="24"/>
        </w:rPr>
        <w:t xml:space="preserve"> is usually not directly or personally affected by the concern and therefore rarely has a direct personal interest in the outcome of any investigation into their concerns.   </w:t>
      </w:r>
    </w:p>
    <w:p w14:paraId="5E4D940E" w14:textId="02BD5F66"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The </w:t>
      </w:r>
      <w:r w:rsidR="00AB12E5">
        <w:rPr>
          <w:rFonts w:asciiTheme="minorHAnsi" w:hAnsiTheme="minorHAnsi" w:cstheme="minorHAnsi"/>
          <w:sz w:val="24"/>
        </w:rPr>
        <w:t>W</w:t>
      </w:r>
      <w:r w:rsidR="00AB12E5" w:rsidRPr="00D55442">
        <w:rPr>
          <w:rFonts w:asciiTheme="minorHAnsi" w:hAnsiTheme="minorHAnsi" w:cstheme="minorHAnsi"/>
          <w:sz w:val="24"/>
        </w:rPr>
        <w:t>histle blower</w:t>
      </w:r>
      <w:r w:rsidRPr="00D55442">
        <w:rPr>
          <w:rFonts w:asciiTheme="minorHAnsi" w:hAnsiTheme="minorHAnsi" w:cstheme="minorHAnsi"/>
          <w:sz w:val="24"/>
        </w:rPr>
        <w:t xml:space="preserve"> raises the concern so that others can address it.   Examples of concern may include:</w:t>
      </w:r>
    </w:p>
    <w:p w14:paraId="6135CF80" w14:textId="7CE553AB"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 volunteer defrauding the FHLTA or anyone using FHLTA;</w:t>
      </w:r>
    </w:p>
    <w:p w14:paraId="68664959"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the physical or emotional abuse of children, young people, vulnerable adults or the elderly;</w:t>
      </w:r>
    </w:p>
    <w:p w14:paraId="3718D218" w14:textId="64D6ED1C"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anyone making inappropriate use of FHLTA</w:t>
      </w:r>
      <w:r w:rsidR="009A5DC1">
        <w:rPr>
          <w:rFonts w:asciiTheme="minorHAnsi" w:hAnsiTheme="minorHAnsi" w:cstheme="minorHAnsi"/>
          <w:sz w:val="24"/>
        </w:rPr>
        <w:t>’</w:t>
      </w:r>
      <w:r w:rsidRPr="00D55442">
        <w:rPr>
          <w:rFonts w:asciiTheme="minorHAnsi" w:hAnsiTheme="minorHAnsi" w:cstheme="minorHAnsi"/>
          <w:sz w:val="24"/>
        </w:rPr>
        <w:t>s resource (</w:t>
      </w:r>
      <w:r w:rsidR="00AB12E5" w:rsidRPr="00D55442">
        <w:rPr>
          <w:rFonts w:asciiTheme="minorHAnsi" w:hAnsiTheme="minorHAnsi" w:cstheme="minorHAnsi"/>
          <w:sz w:val="24"/>
        </w:rPr>
        <w:t>e.g.</w:t>
      </w:r>
      <w:r w:rsidRPr="00D55442">
        <w:rPr>
          <w:rFonts w:asciiTheme="minorHAnsi" w:hAnsiTheme="minorHAnsi" w:cstheme="minorHAnsi"/>
          <w:sz w:val="24"/>
        </w:rPr>
        <w:t>: for their own personal use</w:t>
      </w:r>
      <w:r w:rsidR="009A5DC1">
        <w:rPr>
          <w:rFonts w:asciiTheme="minorHAnsi" w:hAnsiTheme="minorHAnsi" w:cstheme="minorHAnsi"/>
          <w:sz w:val="24"/>
        </w:rPr>
        <w:t xml:space="preserve"> and/or gain</w:t>
      </w:r>
      <w:r w:rsidR="00AB12E5" w:rsidRPr="00D55442">
        <w:rPr>
          <w:rFonts w:asciiTheme="minorHAnsi" w:hAnsiTheme="minorHAnsi" w:cstheme="minorHAnsi"/>
          <w:sz w:val="24"/>
        </w:rPr>
        <w:t>).</w:t>
      </w:r>
    </w:p>
    <w:p w14:paraId="4E40B8BC" w14:textId="71915355"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faulty machinery or equipment that puts the safety of FHLTA</w:t>
      </w:r>
      <w:r w:rsidR="009A5DC1">
        <w:rPr>
          <w:rFonts w:asciiTheme="minorHAnsi" w:hAnsiTheme="minorHAnsi" w:cstheme="minorHAnsi"/>
          <w:sz w:val="24"/>
        </w:rPr>
        <w:t>, its Trustees, members or volunteers</w:t>
      </w:r>
      <w:r w:rsidRPr="00D55442">
        <w:rPr>
          <w:rFonts w:asciiTheme="minorHAnsi" w:hAnsiTheme="minorHAnsi" w:cstheme="minorHAnsi"/>
          <w:sz w:val="24"/>
        </w:rPr>
        <w:t xml:space="preserve"> at risk.</w:t>
      </w:r>
    </w:p>
    <w:p w14:paraId="23FBF238" w14:textId="77777777" w:rsidR="00D55442" w:rsidRPr="009A5DC1"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9A5DC1">
        <w:rPr>
          <w:rFonts w:asciiTheme="minorHAnsi" w:hAnsiTheme="minorHAnsi" w:cstheme="minorHAnsi"/>
          <w:b/>
          <w:bCs/>
          <w:color w:val="auto"/>
          <w:sz w:val="28"/>
          <w:szCs w:val="28"/>
        </w:rPr>
        <w:t>Good Practice</w:t>
      </w:r>
    </w:p>
    <w:p w14:paraId="138813BB" w14:textId="147D557E"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For effective risk management, members need to be confident that they can raise matters of concern without suffering any detriment.   Not dealing with problems early could have a devastating effect on organisations with costly </w:t>
      </w:r>
      <w:r w:rsidRPr="00D55442">
        <w:rPr>
          <w:rStyle w:val="jus1"/>
          <w:rFonts w:asciiTheme="minorHAnsi" w:hAnsiTheme="minorHAnsi" w:cstheme="minorHAnsi"/>
          <w:sz w:val="24"/>
        </w:rPr>
        <w:t>fines, compensation, higher insurance premiums, damaged reputation, regulatory investigation, lo</w:t>
      </w:r>
      <w:r w:rsidR="00434C3F">
        <w:rPr>
          <w:rStyle w:val="jus1"/>
          <w:rFonts w:asciiTheme="minorHAnsi" w:hAnsiTheme="minorHAnsi" w:cstheme="minorHAnsi"/>
          <w:sz w:val="24"/>
        </w:rPr>
        <w:t xml:space="preserve">ss of role and/or membership </w:t>
      </w:r>
      <w:r w:rsidRPr="00D55442">
        <w:rPr>
          <w:rStyle w:val="jus1"/>
          <w:rFonts w:asciiTheme="minorHAnsi" w:hAnsiTheme="minorHAnsi" w:cstheme="minorHAnsi"/>
          <w:sz w:val="24"/>
        </w:rPr>
        <w:t>and even los</w:t>
      </w:r>
      <w:r w:rsidR="00434C3F">
        <w:rPr>
          <w:rStyle w:val="jus1"/>
          <w:rFonts w:asciiTheme="minorHAnsi" w:hAnsiTheme="minorHAnsi" w:cstheme="minorHAnsi"/>
          <w:sz w:val="24"/>
        </w:rPr>
        <w:t>s of</w:t>
      </w:r>
      <w:r w:rsidRPr="00D55442">
        <w:rPr>
          <w:rStyle w:val="jus1"/>
          <w:rFonts w:asciiTheme="minorHAnsi" w:hAnsiTheme="minorHAnsi" w:cstheme="minorHAnsi"/>
          <w:sz w:val="24"/>
        </w:rPr>
        <w:t xml:space="preserve"> lives.   </w:t>
      </w:r>
      <w:r w:rsidRPr="00D55442">
        <w:rPr>
          <w:rFonts w:asciiTheme="minorHAnsi" w:hAnsiTheme="minorHAnsi" w:cstheme="minorHAnsi"/>
          <w:sz w:val="24"/>
        </w:rPr>
        <w:t xml:space="preserve">Whistleblowing can be an early warning system for the </w:t>
      </w:r>
      <w:r w:rsidR="00AB12E5" w:rsidRPr="00D55442">
        <w:rPr>
          <w:rFonts w:asciiTheme="minorHAnsi" w:hAnsiTheme="minorHAnsi" w:cstheme="minorHAnsi"/>
          <w:sz w:val="24"/>
        </w:rPr>
        <w:t>FHLTA,</w:t>
      </w:r>
      <w:r w:rsidRPr="00D55442">
        <w:rPr>
          <w:rFonts w:asciiTheme="minorHAnsi" w:hAnsiTheme="minorHAnsi" w:cstheme="minorHAnsi"/>
          <w:sz w:val="24"/>
        </w:rPr>
        <w:t xml:space="preserve"> and an effective policy can provide a clear framework for action.</w:t>
      </w:r>
    </w:p>
    <w:p w14:paraId="6669A80D" w14:textId="77777777" w:rsidR="00D55442" w:rsidRPr="00D55442" w:rsidRDefault="00D55442" w:rsidP="00D55442">
      <w:pPr>
        <w:pStyle w:val="BodyText"/>
        <w:spacing w:before="120" w:after="0"/>
        <w:rPr>
          <w:rFonts w:asciiTheme="minorHAnsi" w:hAnsiTheme="minorHAnsi" w:cstheme="minorHAnsi"/>
          <w:i/>
          <w:iCs/>
          <w:sz w:val="24"/>
        </w:rPr>
      </w:pPr>
      <w:r w:rsidRPr="00D55442">
        <w:rPr>
          <w:rFonts w:asciiTheme="minorHAnsi" w:hAnsiTheme="minorHAnsi" w:cstheme="minorHAnsi"/>
          <w:sz w:val="24"/>
        </w:rPr>
        <w:lastRenderedPageBreak/>
        <w:t>Following its public consultation on whistleblowing, the UK Financial Services Authority (FSA) found that:</w:t>
      </w:r>
    </w:p>
    <w:p w14:paraId="7E60E09F" w14:textId="77777777" w:rsidR="00D55442" w:rsidRPr="00D55442" w:rsidRDefault="00D55442" w:rsidP="00D55442">
      <w:pPr>
        <w:pStyle w:val="BodyTextIndent"/>
        <w:ind w:left="290"/>
        <w:rPr>
          <w:rFonts w:cstheme="minorHAnsi"/>
          <w:sz w:val="24"/>
          <w:szCs w:val="24"/>
        </w:rPr>
      </w:pPr>
      <w:r w:rsidRPr="00D55442">
        <w:rPr>
          <w:rFonts w:cstheme="minorHAnsi"/>
          <w:i/>
          <w:iCs/>
          <w:sz w:val="24"/>
          <w:szCs w:val="24"/>
        </w:rPr>
        <w:t>A whistleblowing policy will improve the trust and confidence among people by creating what one respondent called a "culture of honesty and openness" by encouraging people to report internally.   This was seen as "good for the morale of members", giving them confidence to come forward with concerns.   Senior Trustees will be the first to know of any issues that they may need to address.   These can be dealt with internally.   This also means that the costs of investigating any problems, such as fraud, are reduced as problems can be caught quickly.</w:t>
      </w:r>
    </w:p>
    <w:p w14:paraId="65963529" w14:textId="76E75F71"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If</w:t>
      </w:r>
      <w:r w:rsidR="00434C3F">
        <w:rPr>
          <w:rFonts w:asciiTheme="minorHAnsi" w:hAnsiTheme="minorHAnsi" w:cstheme="minorHAnsi"/>
          <w:sz w:val="24"/>
        </w:rPr>
        <w:t xml:space="preserve"> an individual(s) </w:t>
      </w:r>
      <w:r w:rsidRPr="00D55442">
        <w:rPr>
          <w:rFonts w:asciiTheme="minorHAnsi" w:hAnsiTheme="minorHAnsi" w:cstheme="minorHAnsi"/>
          <w:sz w:val="24"/>
        </w:rPr>
        <w:t xml:space="preserve">voice concerns within the </w:t>
      </w:r>
      <w:r w:rsidR="00434C3F">
        <w:rPr>
          <w:rFonts w:asciiTheme="minorHAnsi" w:hAnsiTheme="minorHAnsi" w:cstheme="minorHAnsi"/>
          <w:sz w:val="24"/>
        </w:rPr>
        <w:t>FHLTA,</w:t>
      </w:r>
      <w:r w:rsidRPr="00D55442">
        <w:rPr>
          <w:rFonts w:asciiTheme="minorHAnsi" w:hAnsiTheme="minorHAnsi" w:cstheme="minorHAnsi"/>
          <w:sz w:val="24"/>
        </w:rPr>
        <w:t xml:space="preserve"> rather than being forced to go to an external body</w:t>
      </w:r>
      <w:r w:rsidR="00434C3F">
        <w:rPr>
          <w:rFonts w:asciiTheme="minorHAnsi" w:hAnsiTheme="minorHAnsi" w:cstheme="minorHAnsi"/>
          <w:sz w:val="24"/>
        </w:rPr>
        <w:t>,</w:t>
      </w:r>
      <w:r w:rsidRPr="00D55442">
        <w:rPr>
          <w:rFonts w:asciiTheme="minorHAnsi" w:hAnsiTheme="minorHAnsi" w:cstheme="minorHAnsi"/>
          <w:sz w:val="24"/>
        </w:rPr>
        <w:t xml:space="preserve"> the FHLTA can often tackle a problem before it becomes a crisis, thus helping to avoid potentially damaging media coverage, regulatory sanctions and/or costly compensation payments.   A whistleblowing policy can provide a clear framework for constructive problem solving in a reasonable, appropriate and controllable way.</w:t>
      </w:r>
    </w:p>
    <w:p w14:paraId="4E825A68" w14:textId="4E205FCD"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Members should not be expected to prove their case should they have a concern about malpractice.   Therefore, an organisation's policy on - and response to - whistleblowing should be different from its policy on and response to a grievance</w:t>
      </w:r>
      <w:r w:rsidR="00434C3F">
        <w:rPr>
          <w:rFonts w:asciiTheme="minorHAnsi" w:hAnsiTheme="minorHAnsi" w:cstheme="minorHAnsi"/>
          <w:sz w:val="24"/>
        </w:rPr>
        <w:t xml:space="preserve"> or complaint</w:t>
      </w:r>
      <w:r w:rsidRPr="00D55442">
        <w:rPr>
          <w:rFonts w:asciiTheme="minorHAnsi" w:hAnsiTheme="minorHAnsi" w:cstheme="minorHAnsi"/>
          <w:sz w:val="24"/>
        </w:rPr>
        <w:t xml:space="preserve">.   </w:t>
      </w:r>
    </w:p>
    <w:p w14:paraId="79D332ED" w14:textId="77777777"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The main points to consider within a whistleblowing policy or approach to whistleblowing at work:</w:t>
      </w:r>
    </w:p>
    <w:p w14:paraId="3655A48F" w14:textId="2C1422A5"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Involve </w:t>
      </w:r>
      <w:r w:rsidR="00434C3F">
        <w:rPr>
          <w:rFonts w:asciiTheme="minorHAnsi" w:hAnsiTheme="minorHAnsi" w:cstheme="minorHAnsi"/>
          <w:sz w:val="24"/>
        </w:rPr>
        <w:t xml:space="preserve">Trustees, members and volunteers </w:t>
      </w:r>
      <w:r w:rsidRPr="00D55442">
        <w:rPr>
          <w:rFonts w:asciiTheme="minorHAnsi" w:hAnsiTheme="minorHAnsi" w:cstheme="minorHAnsi"/>
          <w:sz w:val="24"/>
        </w:rPr>
        <w:t xml:space="preserve">by consulting with them, through </w:t>
      </w:r>
      <w:r w:rsidR="00434C3F">
        <w:rPr>
          <w:rFonts w:asciiTheme="minorHAnsi" w:hAnsiTheme="minorHAnsi" w:cstheme="minorHAnsi"/>
          <w:sz w:val="24"/>
        </w:rPr>
        <w:t xml:space="preserve">meetings, </w:t>
      </w:r>
      <w:r w:rsidRPr="00D55442">
        <w:rPr>
          <w:rFonts w:asciiTheme="minorHAnsi" w:hAnsiTheme="minorHAnsi" w:cstheme="minorHAnsi"/>
          <w:sz w:val="24"/>
        </w:rPr>
        <w:t>groups, or – in smaller organisations</w:t>
      </w:r>
      <w:r w:rsidR="00434C3F">
        <w:rPr>
          <w:rFonts w:asciiTheme="minorHAnsi" w:hAnsiTheme="minorHAnsi" w:cstheme="minorHAnsi"/>
          <w:sz w:val="24"/>
        </w:rPr>
        <w:t xml:space="preserve"> ind</w:t>
      </w:r>
      <w:r w:rsidRPr="00D55442">
        <w:rPr>
          <w:rFonts w:asciiTheme="minorHAnsi" w:hAnsiTheme="minorHAnsi" w:cstheme="minorHAnsi"/>
          <w:sz w:val="24"/>
        </w:rPr>
        <w:t>ividually, before the introducing the policy;</w:t>
      </w:r>
    </w:p>
    <w:p w14:paraId="0E96E289" w14:textId="08AA3603"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Discuss the types of risk your </w:t>
      </w:r>
      <w:r w:rsidR="00434C3F">
        <w:rPr>
          <w:rFonts w:asciiTheme="minorHAnsi" w:hAnsiTheme="minorHAnsi" w:cstheme="minorHAnsi"/>
          <w:sz w:val="24"/>
        </w:rPr>
        <w:t>charity</w:t>
      </w:r>
      <w:r w:rsidRPr="00D55442">
        <w:rPr>
          <w:rFonts w:asciiTheme="minorHAnsi" w:hAnsiTheme="minorHAnsi" w:cstheme="minorHAnsi"/>
          <w:sz w:val="24"/>
        </w:rPr>
        <w:t xml:space="preserve"> may face with your Trustees;</w:t>
      </w:r>
    </w:p>
    <w:p w14:paraId="4D7D5A6A" w14:textId="6578E05F"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Be clear about what conduct is unacceptable and about the standards expected of your trustees</w:t>
      </w:r>
      <w:r w:rsidR="00434C3F">
        <w:rPr>
          <w:rFonts w:asciiTheme="minorHAnsi" w:hAnsiTheme="minorHAnsi" w:cstheme="minorHAnsi"/>
          <w:sz w:val="24"/>
        </w:rPr>
        <w:t xml:space="preserve">, </w:t>
      </w:r>
      <w:r w:rsidRPr="00D55442">
        <w:rPr>
          <w:rFonts w:asciiTheme="minorHAnsi" w:hAnsiTheme="minorHAnsi" w:cstheme="minorHAnsi"/>
          <w:sz w:val="24"/>
        </w:rPr>
        <w:t>members</w:t>
      </w:r>
      <w:r w:rsidR="00434C3F">
        <w:rPr>
          <w:rFonts w:asciiTheme="minorHAnsi" w:hAnsiTheme="minorHAnsi" w:cstheme="minorHAnsi"/>
          <w:sz w:val="24"/>
        </w:rPr>
        <w:t xml:space="preserve"> and volunteers</w:t>
      </w:r>
    </w:p>
    <w:p w14:paraId="5D027AA2" w14:textId="64B5E68C"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Encourage </w:t>
      </w:r>
      <w:r w:rsidR="00434C3F">
        <w:rPr>
          <w:rFonts w:asciiTheme="minorHAnsi" w:hAnsiTheme="minorHAnsi" w:cstheme="minorHAnsi"/>
          <w:sz w:val="24"/>
        </w:rPr>
        <w:t xml:space="preserve">individuals </w:t>
      </w:r>
      <w:r w:rsidRPr="00D55442">
        <w:rPr>
          <w:rFonts w:asciiTheme="minorHAnsi" w:hAnsiTheme="minorHAnsi" w:cstheme="minorHAnsi"/>
          <w:sz w:val="24"/>
        </w:rPr>
        <w:t>to share their concerns internally and in confidence – they do not need to have proof or need to investigate the matter themselves;</w:t>
      </w:r>
    </w:p>
    <w:p w14:paraId="432788CB" w14:textId="23A6569A"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Be clear that concerned </w:t>
      </w:r>
      <w:r w:rsidR="00434C3F">
        <w:rPr>
          <w:rFonts w:asciiTheme="minorHAnsi" w:hAnsiTheme="minorHAnsi" w:cstheme="minorHAnsi"/>
          <w:sz w:val="24"/>
        </w:rPr>
        <w:t xml:space="preserve">Trustees, members and volunteers </w:t>
      </w:r>
      <w:r w:rsidRPr="00D55442">
        <w:rPr>
          <w:rFonts w:asciiTheme="minorHAnsi" w:hAnsiTheme="minorHAnsi" w:cstheme="minorHAnsi"/>
          <w:sz w:val="24"/>
        </w:rPr>
        <w:t>will be supported and protected from reprisals;</w:t>
      </w:r>
    </w:p>
    <w:p w14:paraId="5EB7BBD2" w14:textId="30DE8F84"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Explain that a </w:t>
      </w:r>
      <w:r w:rsidR="00434C3F">
        <w:rPr>
          <w:rFonts w:asciiTheme="minorHAnsi" w:hAnsiTheme="minorHAnsi" w:cstheme="minorHAnsi"/>
          <w:sz w:val="24"/>
        </w:rPr>
        <w:t>“</w:t>
      </w:r>
      <w:r w:rsidR="00AB12E5">
        <w:rPr>
          <w:rFonts w:asciiTheme="minorHAnsi" w:hAnsiTheme="minorHAnsi" w:cstheme="minorHAnsi"/>
          <w:sz w:val="24"/>
        </w:rPr>
        <w:t>W</w:t>
      </w:r>
      <w:r w:rsidR="00AB12E5" w:rsidRPr="00D55442">
        <w:rPr>
          <w:rFonts w:asciiTheme="minorHAnsi" w:hAnsiTheme="minorHAnsi" w:cstheme="minorHAnsi"/>
          <w:sz w:val="24"/>
        </w:rPr>
        <w:t>histle blower</w:t>
      </w:r>
      <w:r w:rsidR="00434C3F">
        <w:rPr>
          <w:rFonts w:asciiTheme="minorHAnsi" w:hAnsiTheme="minorHAnsi" w:cstheme="minorHAnsi"/>
          <w:sz w:val="24"/>
        </w:rPr>
        <w:t>”</w:t>
      </w:r>
      <w:r w:rsidRPr="00D55442">
        <w:rPr>
          <w:rFonts w:asciiTheme="minorHAnsi" w:hAnsiTheme="minorHAnsi" w:cstheme="minorHAnsi"/>
          <w:sz w:val="24"/>
        </w:rPr>
        <w:t xml:space="preserve"> is a witness, not a </w:t>
      </w:r>
      <w:r w:rsidR="00AB12E5" w:rsidRPr="00D55442">
        <w:rPr>
          <w:rFonts w:asciiTheme="minorHAnsi" w:hAnsiTheme="minorHAnsi" w:cstheme="minorHAnsi"/>
          <w:sz w:val="24"/>
        </w:rPr>
        <w:t>complainant.</w:t>
      </w:r>
    </w:p>
    <w:p w14:paraId="49AD4C98"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Deal with wrongdoing seriously and effectively;</w:t>
      </w:r>
    </w:p>
    <w:p w14:paraId="18602CE0"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Train trustees on how to deal with whistleblowing;</w:t>
      </w:r>
    </w:p>
    <w:p w14:paraId="3CA6560E" w14:textId="401FA6C4"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If trustees/members</w:t>
      </w:r>
      <w:r w:rsidR="00434C3F">
        <w:rPr>
          <w:rFonts w:asciiTheme="minorHAnsi" w:hAnsiTheme="minorHAnsi" w:cstheme="minorHAnsi"/>
          <w:sz w:val="24"/>
        </w:rPr>
        <w:t>/volunteers</w:t>
      </w:r>
      <w:r w:rsidRPr="00D55442">
        <w:rPr>
          <w:rFonts w:asciiTheme="minorHAnsi" w:hAnsiTheme="minorHAnsi" w:cstheme="minorHAnsi"/>
          <w:sz w:val="24"/>
        </w:rPr>
        <w:t xml:space="preserve"> feel uncomfortable raising their concern with </w:t>
      </w:r>
      <w:r w:rsidR="00434C3F">
        <w:rPr>
          <w:rFonts w:asciiTheme="minorHAnsi" w:hAnsiTheme="minorHAnsi" w:cstheme="minorHAnsi"/>
          <w:sz w:val="24"/>
        </w:rPr>
        <w:t>the Whistleblowing Officer</w:t>
      </w:r>
      <w:r w:rsidRPr="00D55442">
        <w:rPr>
          <w:rFonts w:asciiTheme="minorHAnsi" w:hAnsiTheme="minorHAnsi" w:cstheme="minorHAnsi"/>
          <w:sz w:val="24"/>
        </w:rPr>
        <w:t xml:space="preserve">, explain that they should then raise it </w:t>
      </w:r>
      <w:r w:rsidR="00434C3F">
        <w:rPr>
          <w:rFonts w:asciiTheme="minorHAnsi" w:hAnsiTheme="minorHAnsi" w:cstheme="minorHAnsi"/>
          <w:sz w:val="24"/>
        </w:rPr>
        <w:t>with the Vice Chairperson or another Trustee of the charity</w:t>
      </w:r>
    </w:p>
    <w:p w14:paraId="54403844" w14:textId="2959EFA6"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Emphasise to</w:t>
      </w:r>
      <w:r w:rsidR="00434C3F">
        <w:rPr>
          <w:rFonts w:asciiTheme="minorHAnsi" w:hAnsiTheme="minorHAnsi" w:cstheme="minorHAnsi"/>
          <w:sz w:val="24"/>
        </w:rPr>
        <w:t xml:space="preserve"> all</w:t>
      </w:r>
      <w:r w:rsidRPr="00D55442">
        <w:rPr>
          <w:rFonts w:asciiTheme="minorHAnsi" w:hAnsiTheme="minorHAnsi" w:cstheme="minorHAnsi"/>
          <w:sz w:val="24"/>
        </w:rPr>
        <w:t xml:space="preserve"> </w:t>
      </w:r>
      <w:r w:rsidR="00434C3F">
        <w:rPr>
          <w:rFonts w:asciiTheme="minorHAnsi" w:hAnsiTheme="minorHAnsi" w:cstheme="minorHAnsi"/>
          <w:sz w:val="24"/>
        </w:rPr>
        <w:t>T</w:t>
      </w:r>
      <w:r w:rsidRPr="00D55442">
        <w:rPr>
          <w:rFonts w:asciiTheme="minorHAnsi" w:hAnsiTheme="minorHAnsi" w:cstheme="minorHAnsi"/>
          <w:sz w:val="24"/>
        </w:rPr>
        <w:t>rustees</w:t>
      </w:r>
      <w:r w:rsidR="00434C3F">
        <w:rPr>
          <w:rFonts w:asciiTheme="minorHAnsi" w:hAnsiTheme="minorHAnsi" w:cstheme="minorHAnsi"/>
          <w:sz w:val="24"/>
        </w:rPr>
        <w:t>,</w:t>
      </w:r>
      <w:r w:rsidRPr="00D55442">
        <w:rPr>
          <w:rFonts w:asciiTheme="minorHAnsi" w:hAnsiTheme="minorHAnsi" w:cstheme="minorHAnsi"/>
          <w:sz w:val="24"/>
        </w:rPr>
        <w:t xml:space="preserve"> members</w:t>
      </w:r>
      <w:r w:rsidR="00434C3F">
        <w:rPr>
          <w:rFonts w:asciiTheme="minorHAnsi" w:hAnsiTheme="minorHAnsi" w:cstheme="minorHAnsi"/>
          <w:sz w:val="24"/>
        </w:rPr>
        <w:t xml:space="preserve"> and volunteers</w:t>
      </w:r>
      <w:r w:rsidRPr="00D55442">
        <w:rPr>
          <w:rFonts w:asciiTheme="minorHAnsi" w:hAnsiTheme="minorHAnsi" w:cstheme="minorHAnsi"/>
          <w:sz w:val="24"/>
        </w:rPr>
        <w:t xml:space="preserve"> that victimisation is a disciplinary offence as is knowingly raising malicious untrue allegations;</w:t>
      </w:r>
    </w:p>
    <w:p w14:paraId="3EBB7919" w14:textId="2A9F3F8D"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Offer confidentiality </w:t>
      </w:r>
      <w:r w:rsidR="00434C3F">
        <w:rPr>
          <w:rFonts w:asciiTheme="minorHAnsi" w:hAnsiTheme="minorHAnsi" w:cstheme="minorHAnsi"/>
          <w:sz w:val="24"/>
        </w:rPr>
        <w:t xml:space="preserve">any </w:t>
      </w:r>
      <w:r w:rsidR="00AB12E5">
        <w:rPr>
          <w:rFonts w:asciiTheme="minorHAnsi" w:hAnsiTheme="minorHAnsi" w:cstheme="minorHAnsi"/>
          <w:sz w:val="24"/>
        </w:rPr>
        <w:t>Whistle blower</w:t>
      </w:r>
      <w:r w:rsidR="00434C3F">
        <w:rPr>
          <w:rFonts w:asciiTheme="minorHAnsi" w:hAnsiTheme="minorHAnsi" w:cstheme="minorHAnsi"/>
          <w:sz w:val="24"/>
        </w:rPr>
        <w:t xml:space="preserve"> </w:t>
      </w:r>
      <w:r w:rsidRPr="00D55442">
        <w:rPr>
          <w:rFonts w:asciiTheme="minorHAnsi" w:hAnsiTheme="minorHAnsi" w:cstheme="minorHAnsi"/>
          <w:sz w:val="24"/>
        </w:rPr>
        <w:t xml:space="preserve">who asks for it but be clear that there may be circumstances when their identity might have to be revealed such as when you are ordered by </w:t>
      </w:r>
      <w:r w:rsidR="00AB12E5" w:rsidRPr="00D55442">
        <w:rPr>
          <w:rFonts w:asciiTheme="minorHAnsi" w:hAnsiTheme="minorHAnsi" w:cstheme="minorHAnsi"/>
          <w:sz w:val="24"/>
        </w:rPr>
        <w:t>court.</w:t>
      </w:r>
    </w:p>
    <w:p w14:paraId="3921793E" w14:textId="0B4EBC53"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 xml:space="preserve">Report back to </w:t>
      </w:r>
      <w:r w:rsidR="00434C3F">
        <w:rPr>
          <w:rFonts w:asciiTheme="minorHAnsi" w:hAnsiTheme="minorHAnsi" w:cstheme="minorHAnsi"/>
          <w:sz w:val="24"/>
        </w:rPr>
        <w:t xml:space="preserve">the </w:t>
      </w:r>
      <w:r w:rsidR="00AB12E5">
        <w:rPr>
          <w:rFonts w:asciiTheme="minorHAnsi" w:hAnsiTheme="minorHAnsi" w:cstheme="minorHAnsi"/>
          <w:sz w:val="24"/>
        </w:rPr>
        <w:t>Whistle blower</w:t>
      </w:r>
      <w:r w:rsidR="00434C3F">
        <w:rPr>
          <w:rFonts w:asciiTheme="minorHAnsi" w:hAnsiTheme="minorHAnsi" w:cstheme="minorHAnsi"/>
          <w:sz w:val="24"/>
        </w:rPr>
        <w:t xml:space="preserve"> </w:t>
      </w:r>
      <w:r w:rsidRPr="00D55442">
        <w:rPr>
          <w:rFonts w:asciiTheme="minorHAnsi" w:hAnsiTheme="minorHAnsi" w:cstheme="minorHAnsi"/>
          <w:sz w:val="24"/>
        </w:rPr>
        <w:t xml:space="preserve">about the progress and outcome of any enquiry or action </w:t>
      </w:r>
      <w:r w:rsidR="00AB12E5" w:rsidRPr="00D55442">
        <w:rPr>
          <w:rFonts w:asciiTheme="minorHAnsi" w:hAnsiTheme="minorHAnsi" w:cstheme="minorHAnsi"/>
          <w:sz w:val="24"/>
        </w:rPr>
        <w:t>taken.</w:t>
      </w:r>
    </w:p>
    <w:p w14:paraId="54350C19"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t>Be prepared to explain how you have handled the concern;</w:t>
      </w:r>
    </w:p>
    <w:p w14:paraId="121E0D5A" w14:textId="77777777" w:rsidR="00D55442" w:rsidRPr="00D55442" w:rsidRDefault="00D55442" w:rsidP="00D55442">
      <w:pPr>
        <w:pStyle w:val="Textbodybullet"/>
        <w:numPr>
          <w:ilvl w:val="0"/>
          <w:numId w:val="23"/>
        </w:numPr>
        <w:spacing w:before="60" w:after="0"/>
        <w:ind w:left="714" w:hanging="357"/>
        <w:rPr>
          <w:rFonts w:asciiTheme="minorHAnsi" w:hAnsiTheme="minorHAnsi" w:cstheme="minorHAnsi"/>
          <w:sz w:val="24"/>
        </w:rPr>
      </w:pPr>
      <w:r w:rsidRPr="00D55442">
        <w:rPr>
          <w:rFonts w:asciiTheme="minorHAnsi" w:hAnsiTheme="minorHAnsi" w:cstheme="minorHAnsi"/>
          <w:sz w:val="24"/>
        </w:rPr>
        <w:lastRenderedPageBreak/>
        <w:t>Under no circumstances try to suppress evidence of malpractice.</w:t>
      </w:r>
    </w:p>
    <w:p w14:paraId="25F2E93F" w14:textId="77777777" w:rsidR="00D55442" w:rsidRPr="00434C3F" w:rsidRDefault="00D55442" w:rsidP="00D55442">
      <w:pPr>
        <w:pStyle w:val="Heading2"/>
        <w:keepLines w:val="0"/>
        <w:widowControl w:val="0"/>
        <w:numPr>
          <w:ilvl w:val="1"/>
          <w:numId w:val="0"/>
        </w:numPr>
        <w:tabs>
          <w:tab w:val="num" w:pos="576"/>
        </w:tabs>
        <w:suppressAutoHyphens/>
        <w:spacing w:before="240" w:line="240" w:lineRule="auto"/>
        <w:rPr>
          <w:rFonts w:asciiTheme="minorHAnsi" w:hAnsiTheme="minorHAnsi" w:cstheme="minorHAnsi"/>
          <w:b/>
          <w:bCs/>
          <w:color w:val="auto"/>
          <w:sz w:val="28"/>
          <w:szCs w:val="28"/>
        </w:rPr>
      </w:pPr>
      <w:r w:rsidRPr="00434C3F">
        <w:rPr>
          <w:rFonts w:asciiTheme="minorHAnsi" w:hAnsiTheme="minorHAnsi" w:cstheme="minorHAnsi"/>
          <w:b/>
          <w:bCs/>
          <w:color w:val="auto"/>
          <w:sz w:val="28"/>
          <w:szCs w:val="28"/>
        </w:rPr>
        <w:t>The Legislation</w:t>
      </w:r>
    </w:p>
    <w:p w14:paraId="7C3CA830" w14:textId="2F652594" w:rsidR="003661CB" w:rsidRDefault="00D55442" w:rsidP="00D55442">
      <w:pPr>
        <w:pStyle w:val="BodyText"/>
        <w:spacing w:before="120" w:after="0"/>
        <w:rPr>
          <w:rFonts w:asciiTheme="minorHAnsi" w:hAnsiTheme="minorHAnsi" w:cstheme="minorHAnsi"/>
          <w:b/>
          <w:bCs/>
          <w:sz w:val="24"/>
        </w:rPr>
      </w:pPr>
      <w:r w:rsidRPr="00D55442">
        <w:rPr>
          <w:rFonts w:asciiTheme="minorHAnsi" w:hAnsiTheme="minorHAnsi" w:cstheme="minorHAnsi"/>
          <w:sz w:val="24"/>
        </w:rPr>
        <w:t xml:space="preserve">The Public Interest Disclosure Act </w:t>
      </w:r>
      <w:r w:rsidR="00434C3F">
        <w:rPr>
          <w:rFonts w:asciiTheme="minorHAnsi" w:hAnsiTheme="minorHAnsi" w:cstheme="minorHAnsi"/>
          <w:sz w:val="24"/>
        </w:rPr>
        <w:t>1998</w:t>
      </w:r>
      <w:r w:rsidRPr="00D55442">
        <w:rPr>
          <w:rFonts w:asciiTheme="minorHAnsi" w:hAnsiTheme="minorHAnsi" w:cstheme="minorHAnsi"/>
          <w:sz w:val="24"/>
        </w:rPr>
        <w:t xml:space="preserve"> protects most workers against unfair dismissal or being subjected to any other detriment by their employer (such as denial of promotion, pay rise or training) for making disclosures about wrongdoing.   It covers all </w:t>
      </w:r>
      <w:r w:rsidR="00434C3F" w:rsidRPr="00D55442">
        <w:rPr>
          <w:rFonts w:asciiTheme="minorHAnsi" w:hAnsiTheme="minorHAnsi" w:cstheme="minorHAnsi"/>
          <w:sz w:val="24"/>
        </w:rPr>
        <w:t>employees</w:t>
      </w:r>
      <w:r w:rsidRPr="00D55442">
        <w:rPr>
          <w:rFonts w:asciiTheme="minorHAnsi" w:hAnsiTheme="minorHAnsi" w:cstheme="minorHAnsi"/>
          <w:sz w:val="24"/>
        </w:rPr>
        <w:t>, trainees, agency staff, contractors and homeworkers, regardless of length of service or age</w:t>
      </w:r>
      <w:r w:rsidRPr="00434C3F">
        <w:rPr>
          <w:rFonts w:asciiTheme="minorHAnsi" w:hAnsiTheme="minorHAnsi" w:cstheme="minorHAnsi"/>
          <w:b/>
          <w:bCs/>
          <w:sz w:val="24"/>
        </w:rPr>
        <w:t xml:space="preserve">.   </w:t>
      </w:r>
      <w:r w:rsidR="00434C3F" w:rsidRPr="00434C3F">
        <w:rPr>
          <w:rFonts w:asciiTheme="minorHAnsi" w:hAnsiTheme="minorHAnsi" w:cstheme="minorHAnsi"/>
          <w:b/>
          <w:bCs/>
          <w:sz w:val="24"/>
        </w:rPr>
        <w:t xml:space="preserve">BE AWARE </w:t>
      </w:r>
      <w:r w:rsidRPr="00434C3F">
        <w:rPr>
          <w:rFonts w:asciiTheme="minorHAnsi" w:hAnsiTheme="minorHAnsi" w:cstheme="minorHAnsi"/>
          <w:b/>
          <w:bCs/>
          <w:sz w:val="24"/>
        </w:rPr>
        <w:t xml:space="preserve">the genuinely self-employed and </w:t>
      </w:r>
      <w:r w:rsidRPr="00434C3F">
        <w:rPr>
          <w:rFonts w:asciiTheme="minorHAnsi" w:hAnsiTheme="minorHAnsi" w:cstheme="minorHAnsi"/>
          <w:b/>
          <w:bCs/>
          <w:sz w:val="24"/>
          <w:u w:val="single"/>
        </w:rPr>
        <w:t>volunteers are not covered</w:t>
      </w:r>
      <w:r w:rsidRPr="00434C3F">
        <w:rPr>
          <w:rFonts w:asciiTheme="minorHAnsi" w:hAnsiTheme="minorHAnsi" w:cstheme="minorHAnsi"/>
          <w:b/>
          <w:bCs/>
          <w:sz w:val="24"/>
        </w:rPr>
        <w:t xml:space="preserve"> by the Act.</w:t>
      </w:r>
    </w:p>
    <w:p w14:paraId="565F68CB" w14:textId="77777777" w:rsidR="00AB12E5" w:rsidRDefault="00AB12E5" w:rsidP="00D55442">
      <w:pPr>
        <w:pStyle w:val="BodyText"/>
        <w:spacing w:before="120" w:after="0"/>
        <w:rPr>
          <w:rFonts w:asciiTheme="minorHAnsi" w:hAnsiTheme="minorHAnsi" w:cstheme="minorHAnsi"/>
          <w:b/>
          <w:bCs/>
          <w:sz w:val="24"/>
        </w:rPr>
      </w:pPr>
    </w:p>
    <w:p w14:paraId="65C3379B" w14:textId="5A7E0E44" w:rsidR="003661CB" w:rsidRPr="003661CB" w:rsidRDefault="003661CB" w:rsidP="00D55442">
      <w:pPr>
        <w:pStyle w:val="BodyText"/>
        <w:spacing w:before="120" w:after="0"/>
        <w:rPr>
          <w:rFonts w:asciiTheme="minorHAnsi" w:hAnsiTheme="minorHAnsi" w:cstheme="minorHAnsi"/>
          <w:sz w:val="28"/>
          <w:szCs w:val="28"/>
        </w:rPr>
      </w:pPr>
      <w:r w:rsidRPr="003661CB">
        <w:rPr>
          <w:rFonts w:asciiTheme="minorHAnsi" w:hAnsiTheme="minorHAnsi" w:cstheme="minorHAnsi"/>
          <w:b/>
          <w:bCs/>
          <w:sz w:val="28"/>
          <w:szCs w:val="28"/>
        </w:rPr>
        <w:t>External Bodies</w:t>
      </w:r>
      <w:r>
        <w:rPr>
          <w:rFonts w:asciiTheme="minorHAnsi" w:hAnsiTheme="minorHAnsi" w:cstheme="minorHAnsi"/>
          <w:b/>
          <w:bCs/>
          <w:sz w:val="28"/>
          <w:szCs w:val="28"/>
        </w:rPr>
        <w:t xml:space="preserve"> and Wider Disclosures</w:t>
      </w:r>
    </w:p>
    <w:p w14:paraId="2812027B" w14:textId="43281202"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If the matter is not dealt with internally, </w:t>
      </w:r>
      <w:r w:rsidR="00AB12E5" w:rsidRPr="00D55442">
        <w:rPr>
          <w:rFonts w:asciiTheme="minorHAnsi" w:hAnsiTheme="minorHAnsi" w:cstheme="minorHAnsi"/>
          <w:sz w:val="24"/>
        </w:rPr>
        <w:t>whistle blowers</w:t>
      </w:r>
      <w:r w:rsidRPr="00D55442">
        <w:rPr>
          <w:rFonts w:asciiTheme="minorHAnsi" w:hAnsiTheme="minorHAnsi" w:cstheme="minorHAnsi"/>
          <w:sz w:val="24"/>
        </w:rPr>
        <w:t xml:space="preserve"> can disclose to appropriate external bodies</w:t>
      </w:r>
      <w:r w:rsidR="003661CB">
        <w:rPr>
          <w:rFonts w:asciiTheme="minorHAnsi" w:hAnsiTheme="minorHAnsi" w:cstheme="minorHAnsi"/>
          <w:sz w:val="24"/>
        </w:rPr>
        <w:t xml:space="preserve">, such as the Charity Commission or legal advisor.  </w:t>
      </w:r>
      <w:bookmarkStart w:id="0" w:name="OLE_LINK1"/>
      <w:r w:rsidRPr="00D55442">
        <w:rPr>
          <w:rFonts w:asciiTheme="minorHAnsi" w:hAnsiTheme="minorHAnsi" w:cstheme="minorHAnsi"/>
          <w:sz w:val="24"/>
        </w:rPr>
        <w:t>The disclosure is protected if it is made to a legal advisor in order to obtain legal advice.</w:t>
      </w:r>
      <w:bookmarkEnd w:id="0"/>
    </w:p>
    <w:p w14:paraId="54B57AEF" w14:textId="7C8B50DB"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Wider disclosures might be to another professional body, the police, an MP, the media, etc.   They should still be reasonable in all circumstances </w:t>
      </w:r>
      <w:r w:rsidR="00AB12E5" w:rsidRPr="00D55442">
        <w:rPr>
          <w:rFonts w:asciiTheme="minorHAnsi" w:hAnsiTheme="minorHAnsi" w:cstheme="minorHAnsi"/>
          <w:sz w:val="24"/>
        </w:rPr>
        <w:t>considering</w:t>
      </w:r>
      <w:r w:rsidRPr="00D55442">
        <w:rPr>
          <w:rFonts w:asciiTheme="minorHAnsi" w:hAnsiTheme="minorHAnsi" w:cstheme="minorHAnsi"/>
          <w:sz w:val="24"/>
        </w:rPr>
        <w:t xml:space="preserve"> the seriousness of the matter and likelihood of re-occurrence.   Reasonableness would also include consideration of whether the </w:t>
      </w:r>
      <w:r w:rsidR="003661CB">
        <w:rPr>
          <w:rFonts w:asciiTheme="minorHAnsi" w:hAnsiTheme="minorHAnsi" w:cstheme="minorHAnsi"/>
          <w:sz w:val="24"/>
        </w:rPr>
        <w:t>individual</w:t>
      </w:r>
      <w:r w:rsidRPr="00D55442">
        <w:rPr>
          <w:rFonts w:asciiTheme="minorHAnsi" w:hAnsiTheme="minorHAnsi" w:cstheme="minorHAnsi"/>
          <w:sz w:val="24"/>
        </w:rPr>
        <w:t xml:space="preserve"> first followed any internal whistleblowing procedure the </w:t>
      </w:r>
      <w:r w:rsidR="003661CB">
        <w:rPr>
          <w:rFonts w:asciiTheme="minorHAnsi" w:hAnsiTheme="minorHAnsi" w:cstheme="minorHAnsi"/>
          <w:sz w:val="24"/>
        </w:rPr>
        <w:t>charity</w:t>
      </w:r>
      <w:r w:rsidRPr="00D55442">
        <w:rPr>
          <w:rFonts w:asciiTheme="minorHAnsi" w:hAnsiTheme="minorHAnsi" w:cstheme="minorHAnsi"/>
          <w:sz w:val="24"/>
        </w:rPr>
        <w:t xml:space="preserve"> may have.   </w:t>
      </w:r>
    </w:p>
    <w:p w14:paraId="513A159D" w14:textId="526E9C15" w:rsidR="00D55442" w:rsidRPr="00D55442" w:rsidRDefault="00AB12E5"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However,</w:t>
      </w:r>
      <w:r w:rsidR="00D55442" w:rsidRPr="00D55442">
        <w:rPr>
          <w:rFonts w:asciiTheme="minorHAnsi" w:hAnsiTheme="minorHAnsi" w:cstheme="minorHAnsi"/>
          <w:sz w:val="24"/>
        </w:rPr>
        <w:t xml:space="preserve"> if the wrongdoing is of an ‘exceptionally serious nature’, (such as involving a murder enquiry) the </w:t>
      </w:r>
      <w:r w:rsidRPr="00D55442">
        <w:rPr>
          <w:rFonts w:asciiTheme="minorHAnsi" w:hAnsiTheme="minorHAnsi" w:cstheme="minorHAnsi"/>
          <w:sz w:val="24"/>
        </w:rPr>
        <w:t>whistle blower</w:t>
      </w:r>
      <w:r w:rsidR="00D55442" w:rsidRPr="00D55442">
        <w:rPr>
          <w:rFonts w:asciiTheme="minorHAnsi" w:hAnsiTheme="minorHAnsi" w:cstheme="minorHAnsi"/>
          <w:sz w:val="24"/>
        </w:rPr>
        <w:t xml:space="preserve"> need not fear victimisation or cover up to make a protected disclosure to an external body, although it should still be reasonable particularly with regard to whom the disclosure is made.   </w:t>
      </w:r>
    </w:p>
    <w:p w14:paraId="3C5C0C5D" w14:textId="7407E746" w:rsidR="00D55442" w:rsidRPr="00D55442" w:rsidRDefault="00D55442" w:rsidP="00D55442">
      <w:pPr>
        <w:pStyle w:val="BodyText"/>
        <w:spacing w:before="120" w:after="0"/>
        <w:rPr>
          <w:rFonts w:asciiTheme="minorHAnsi" w:hAnsiTheme="minorHAnsi" w:cstheme="minorHAnsi"/>
          <w:sz w:val="24"/>
        </w:rPr>
      </w:pPr>
      <w:r w:rsidRPr="00D55442">
        <w:rPr>
          <w:rFonts w:asciiTheme="minorHAnsi" w:hAnsiTheme="minorHAnsi" w:cstheme="minorHAnsi"/>
          <w:sz w:val="24"/>
        </w:rPr>
        <w:t xml:space="preserve">If the </w:t>
      </w:r>
      <w:r w:rsidR="00AB12E5" w:rsidRPr="00D55442">
        <w:rPr>
          <w:rFonts w:asciiTheme="minorHAnsi" w:hAnsiTheme="minorHAnsi" w:cstheme="minorHAnsi"/>
          <w:sz w:val="24"/>
        </w:rPr>
        <w:t>whistle blower</w:t>
      </w:r>
      <w:r w:rsidRPr="00D55442">
        <w:rPr>
          <w:rFonts w:asciiTheme="minorHAnsi" w:hAnsiTheme="minorHAnsi" w:cstheme="minorHAnsi"/>
          <w:sz w:val="24"/>
        </w:rPr>
        <w:t xml:space="preserve"> is victimised for making the disclosure, they can </w:t>
      </w:r>
      <w:r w:rsidR="003661CB">
        <w:rPr>
          <w:rFonts w:asciiTheme="minorHAnsi" w:hAnsiTheme="minorHAnsi" w:cstheme="minorHAnsi"/>
          <w:sz w:val="24"/>
        </w:rPr>
        <w:t>make a formal complaint following the appropriate policy and procedure</w:t>
      </w:r>
      <w:r w:rsidRPr="00D55442">
        <w:rPr>
          <w:rFonts w:asciiTheme="minorHAnsi" w:hAnsiTheme="minorHAnsi" w:cstheme="minorHAnsi"/>
          <w:sz w:val="24"/>
        </w:rPr>
        <w:t xml:space="preserve">.   Dismissals of </w:t>
      </w:r>
      <w:r w:rsidR="003661CB">
        <w:rPr>
          <w:rFonts w:asciiTheme="minorHAnsi" w:hAnsiTheme="minorHAnsi" w:cstheme="minorHAnsi"/>
          <w:sz w:val="24"/>
        </w:rPr>
        <w:t>Trustees, members</w:t>
      </w:r>
      <w:r w:rsidRPr="00D55442">
        <w:rPr>
          <w:rFonts w:asciiTheme="minorHAnsi" w:hAnsiTheme="minorHAnsi" w:cstheme="minorHAnsi"/>
          <w:sz w:val="24"/>
        </w:rPr>
        <w:t xml:space="preserve"> for making a protected disclosure are automatically unfair.   </w:t>
      </w:r>
    </w:p>
    <w:p w14:paraId="32532DF1" w14:textId="31BA7C29" w:rsidR="00D55442" w:rsidRPr="00D55442" w:rsidRDefault="00D55442" w:rsidP="00D55442">
      <w:pPr>
        <w:pStyle w:val="BodyText"/>
        <w:spacing w:before="120" w:after="0"/>
        <w:rPr>
          <w:rFonts w:asciiTheme="minorHAnsi" w:hAnsiTheme="minorHAnsi" w:cstheme="minorHAnsi"/>
          <w:sz w:val="24"/>
        </w:rPr>
      </w:pPr>
    </w:p>
    <w:p w14:paraId="3C164E71" w14:textId="77777777" w:rsidR="00D55442" w:rsidRPr="00092B5A" w:rsidRDefault="00D55442" w:rsidP="00D55442">
      <w:pPr>
        <w:pStyle w:val="Heading2"/>
        <w:widowControl w:val="0"/>
        <w:numPr>
          <w:ilvl w:val="1"/>
          <w:numId w:val="0"/>
        </w:numPr>
        <w:tabs>
          <w:tab w:val="num" w:pos="576"/>
        </w:tabs>
        <w:suppressAutoHyphens/>
        <w:spacing w:before="170" w:line="240" w:lineRule="auto"/>
        <w:rPr>
          <w:rFonts w:asciiTheme="minorHAnsi" w:hAnsiTheme="minorHAnsi" w:cstheme="minorHAnsi"/>
          <w:b/>
          <w:bCs/>
          <w:iCs/>
          <w:color w:val="auto"/>
          <w:sz w:val="28"/>
          <w:szCs w:val="28"/>
        </w:rPr>
      </w:pPr>
      <w:r w:rsidRPr="00092B5A">
        <w:rPr>
          <w:rFonts w:asciiTheme="minorHAnsi" w:hAnsiTheme="minorHAnsi" w:cstheme="minorHAnsi"/>
          <w:b/>
          <w:bCs/>
          <w:iCs/>
          <w:color w:val="auto"/>
          <w:sz w:val="28"/>
          <w:szCs w:val="28"/>
        </w:rPr>
        <w:t>Further Information</w:t>
      </w:r>
    </w:p>
    <w:p w14:paraId="2B336783" w14:textId="77777777" w:rsidR="00092B5A" w:rsidRDefault="00D55442" w:rsidP="00D55442">
      <w:pPr>
        <w:pStyle w:val="BodyText"/>
        <w:keepNext/>
        <w:keepLines/>
        <w:rPr>
          <w:rFonts w:asciiTheme="minorHAnsi" w:hAnsiTheme="minorHAnsi" w:cstheme="minorHAnsi"/>
          <w:sz w:val="24"/>
        </w:rPr>
      </w:pPr>
      <w:r w:rsidRPr="00D55442">
        <w:rPr>
          <w:rFonts w:asciiTheme="minorHAnsi" w:hAnsiTheme="minorHAnsi" w:cstheme="minorHAnsi"/>
          <w:sz w:val="24"/>
        </w:rPr>
        <w:t>Information on whistleblowing can be accessed through the government websites.</w:t>
      </w:r>
      <w:r w:rsidRPr="00D55442">
        <w:rPr>
          <w:rFonts w:asciiTheme="minorHAnsi" w:hAnsiTheme="minorHAnsi" w:cstheme="minorHAnsi"/>
          <w:sz w:val="24"/>
        </w:rPr>
        <w:br/>
      </w:r>
      <w:hyperlink r:id="rId7" w:history="1">
        <w:r w:rsidR="00092B5A" w:rsidRPr="0036570E">
          <w:rPr>
            <w:rStyle w:val="Hyperlink"/>
            <w:rFonts w:asciiTheme="minorHAnsi" w:hAnsiTheme="minorHAnsi" w:cstheme="minorHAnsi"/>
            <w:sz w:val="24"/>
          </w:rPr>
          <w:t>www.gov.uk/whistleblowing/overview</w:t>
        </w:r>
      </w:hyperlink>
    </w:p>
    <w:p w14:paraId="40ACDB8E" w14:textId="25441F45" w:rsidR="00D55442" w:rsidRDefault="00314E52" w:rsidP="00AB12E5">
      <w:pPr>
        <w:pStyle w:val="BodyText"/>
        <w:keepNext/>
        <w:keepLines/>
        <w:rPr>
          <w:rFonts w:asciiTheme="minorHAnsi" w:hAnsiTheme="minorHAnsi" w:cstheme="minorHAnsi"/>
          <w:sz w:val="24"/>
        </w:rPr>
      </w:pPr>
      <w:hyperlink r:id="rId8" w:history="1">
        <w:r w:rsidR="00092B5A" w:rsidRPr="0036570E">
          <w:rPr>
            <w:rStyle w:val="Hyperlink"/>
            <w:rFonts w:asciiTheme="minorHAnsi" w:hAnsiTheme="minorHAnsi" w:cstheme="minorHAnsi"/>
            <w:sz w:val="24"/>
          </w:rPr>
          <w:t>www.gov.uk/guidance/report-serious-wrngdoing-at-a-charity-as-a-worker-or-volunteer</w:t>
        </w:r>
      </w:hyperlink>
    </w:p>
    <w:p w14:paraId="5190C326" w14:textId="77777777" w:rsidR="00092B5A" w:rsidRPr="00D55442" w:rsidRDefault="00092B5A" w:rsidP="00D55442">
      <w:pPr>
        <w:pStyle w:val="BodyText"/>
        <w:rPr>
          <w:rFonts w:asciiTheme="minorHAnsi" w:hAnsiTheme="minorHAnsi" w:cstheme="minorHAnsi"/>
          <w:sz w:val="24"/>
        </w:rPr>
      </w:pPr>
    </w:p>
    <w:p w14:paraId="426FB1EC" w14:textId="77777777" w:rsidR="00D55442" w:rsidRPr="00D55442" w:rsidRDefault="00D55442" w:rsidP="00D55442">
      <w:pPr>
        <w:pStyle w:val="Heading1"/>
        <w:keepLines w:val="0"/>
        <w:pBdr>
          <w:top w:val="single" w:sz="18" w:space="0" w:color="000000"/>
        </w:pBdr>
        <w:tabs>
          <w:tab w:val="num" w:pos="432"/>
        </w:tabs>
        <w:suppressAutoHyphens/>
        <w:spacing w:before="170" w:after="113" w:line="240" w:lineRule="auto"/>
        <w:rPr>
          <w:rFonts w:asciiTheme="minorHAnsi" w:hAnsiTheme="minorHAnsi" w:cstheme="minorHAnsi"/>
          <w:color w:val="auto"/>
          <w:sz w:val="24"/>
          <w:szCs w:val="24"/>
        </w:rPr>
      </w:pPr>
      <w:r w:rsidRPr="00D55442">
        <w:rPr>
          <w:rFonts w:asciiTheme="minorHAnsi" w:hAnsiTheme="minorHAnsi" w:cstheme="minorHAnsi"/>
          <w:color w:val="auto"/>
          <w:sz w:val="24"/>
          <w:szCs w:val="24"/>
        </w:rPr>
        <w:t>Change Record</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755"/>
        <w:gridCol w:w="1288"/>
        <w:gridCol w:w="6879"/>
      </w:tblGrid>
      <w:tr w:rsidR="00D55442" w:rsidRPr="00D55442" w14:paraId="4E300611" w14:textId="77777777" w:rsidTr="00D55442">
        <w:tc>
          <w:tcPr>
            <w:tcW w:w="1755" w:type="dxa"/>
            <w:tcBorders>
              <w:top w:val="single" w:sz="8" w:space="0" w:color="000000"/>
              <w:left w:val="single" w:sz="8" w:space="0" w:color="000000"/>
              <w:bottom w:val="single" w:sz="4" w:space="0" w:color="000000"/>
              <w:right w:val="nil"/>
            </w:tcBorders>
            <w:shd w:val="clear" w:color="auto" w:fill="579D1C"/>
            <w:hideMark/>
          </w:tcPr>
          <w:p w14:paraId="520994AF" w14:textId="77777777" w:rsidR="00D55442" w:rsidRPr="00D55442" w:rsidRDefault="00D55442">
            <w:pPr>
              <w:pStyle w:val="TableContents"/>
              <w:jc w:val="center"/>
              <w:rPr>
                <w:rFonts w:cstheme="minorHAnsi"/>
                <w:b/>
                <w:bCs/>
              </w:rPr>
            </w:pPr>
            <w:r w:rsidRPr="00D55442">
              <w:rPr>
                <w:rFonts w:cstheme="minorHAnsi"/>
                <w:b/>
                <w:bCs/>
              </w:rPr>
              <w:t>Date of Change:</w:t>
            </w:r>
          </w:p>
        </w:tc>
        <w:tc>
          <w:tcPr>
            <w:tcW w:w="1288" w:type="dxa"/>
            <w:tcBorders>
              <w:top w:val="single" w:sz="8" w:space="0" w:color="000000"/>
              <w:left w:val="single" w:sz="4" w:space="0" w:color="000000"/>
              <w:bottom w:val="single" w:sz="4" w:space="0" w:color="000000"/>
              <w:right w:val="nil"/>
            </w:tcBorders>
            <w:shd w:val="clear" w:color="auto" w:fill="579D1C"/>
            <w:hideMark/>
          </w:tcPr>
          <w:p w14:paraId="5499D145" w14:textId="77777777" w:rsidR="00D55442" w:rsidRPr="00D55442" w:rsidRDefault="00D55442">
            <w:pPr>
              <w:pStyle w:val="TableContents"/>
              <w:jc w:val="center"/>
              <w:rPr>
                <w:rFonts w:cstheme="minorHAnsi"/>
                <w:b/>
                <w:bCs/>
              </w:rPr>
            </w:pPr>
            <w:r w:rsidRPr="00D55442">
              <w:rPr>
                <w:rFonts w:cstheme="minorHAnsi"/>
                <w:b/>
                <w:bCs/>
              </w:rPr>
              <w:t>Changed By:</w:t>
            </w:r>
          </w:p>
        </w:tc>
        <w:tc>
          <w:tcPr>
            <w:tcW w:w="6879" w:type="dxa"/>
            <w:tcBorders>
              <w:top w:val="single" w:sz="8" w:space="0" w:color="000000"/>
              <w:left w:val="single" w:sz="4" w:space="0" w:color="000000"/>
              <w:bottom w:val="single" w:sz="4" w:space="0" w:color="000000"/>
              <w:right w:val="single" w:sz="8" w:space="0" w:color="000000"/>
            </w:tcBorders>
            <w:shd w:val="clear" w:color="auto" w:fill="579D1C"/>
            <w:hideMark/>
          </w:tcPr>
          <w:p w14:paraId="2BFE19C9" w14:textId="77777777" w:rsidR="00D55442" w:rsidRPr="00D55442" w:rsidRDefault="00D55442">
            <w:pPr>
              <w:pStyle w:val="TableContents"/>
              <w:rPr>
                <w:rFonts w:cstheme="minorHAnsi"/>
              </w:rPr>
            </w:pPr>
            <w:r w:rsidRPr="00D55442">
              <w:rPr>
                <w:rFonts w:cstheme="minorHAnsi"/>
                <w:b/>
                <w:bCs/>
              </w:rPr>
              <w:t>Comments:</w:t>
            </w:r>
          </w:p>
        </w:tc>
      </w:tr>
      <w:tr w:rsidR="00D55442" w:rsidRPr="00D55442" w14:paraId="634BA4EE" w14:textId="77777777" w:rsidTr="00D55442">
        <w:tc>
          <w:tcPr>
            <w:tcW w:w="1755" w:type="dxa"/>
            <w:tcBorders>
              <w:top w:val="nil"/>
              <w:left w:val="single" w:sz="8" w:space="0" w:color="000000"/>
              <w:bottom w:val="single" w:sz="4" w:space="0" w:color="000000"/>
              <w:right w:val="nil"/>
            </w:tcBorders>
            <w:hideMark/>
          </w:tcPr>
          <w:p w14:paraId="2365900C" w14:textId="3050B870" w:rsidR="00D55442" w:rsidRPr="00D55442" w:rsidRDefault="00092B5A">
            <w:pPr>
              <w:pStyle w:val="TableContents"/>
              <w:spacing w:before="28" w:after="28"/>
              <w:jc w:val="center"/>
              <w:rPr>
                <w:rFonts w:cstheme="minorHAnsi"/>
              </w:rPr>
            </w:pPr>
            <w:r>
              <w:rPr>
                <w:rFonts w:cstheme="minorHAnsi"/>
              </w:rPr>
              <w:t>17/01/2021</w:t>
            </w:r>
          </w:p>
        </w:tc>
        <w:tc>
          <w:tcPr>
            <w:tcW w:w="1288" w:type="dxa"/>
            <w:tcBorders>
              <w:top w:val="nil"/>
              <w:left w:val="single" w:sz="4" w:space="0" w:color="000000"/>
              <w:bottom w:val="single" w:sz="4" w:space="0" w:color="000000"/>
              <w:right w:val="nil"/>
            </w:tcBorders>
            <w:hideMark/>
          </w:tcPr>
          <w:p w14:paraId="0A53D5FC" w14:textId="1DD63E15" w:rsidR="00D55442" w:rsidRPr="00D55442" w:rsidRDefault="00092B5A">
            <w:pPr>
              <w:pStyle w:val="TableContents"/>
              <w:spacing w:before="28" w:after="28"/>
              <w:jc w:val="center"/>
              <w:rPr>
                <w:rFonts w:cstheme="minorHAnsi"/>
              </w:rPr>
            </w:pPr>
            <w:r>
              <w:rPr>
                <w:rFonts w:cstheme="minorHAnsi"/>
              </w:rPr>
              <w:t>NEW</w:t>
            </w:r>
          </w:p>
        </w:tc>
        <w:tc>
          <w:tcPr>
            <w:tcW w:w="6879" w:type="dxa"/>
            <w:tcBorders>
              <w:top w:val="nil"/>
              <w:left w:val="single" w:sz="4" w:space="0" w:color="000000"/>
              <w:bottom w:val="single" w:sz="4" w:space="0" w:color="000000"/>
              <w:right w:val="single" w:sz="8" w:space="0" w:color="000000"/>
            </w:tcBorders>
            <w:hideMark/>
          </w:tcPr>
          <w:p w14:paraId="4D44CBCF" w14:textId="77777777" w:rsidR="00D55442" w:rsidRPr="00D55442" w:rsidRDefault="00D55442">
            <w:pPr>
              <w:pStyle w:val="TableContents"/>
              <w:spacing w:before="28" w:after="28"/>
              <w:rPr>
                <w:rFonts w:cstheme="minorHAnsi"/>
              </w:rPr>
            </w:pPr>
            <w:r w:rsidRPr="00D55442">
              <w:rPr>
                <w:rFonts w:cstheme="minorHAnsi"/>
              </w:rPr>
              <w:t>Policy approved by the Trustees</w:t>
            </w:r>
          </w:p>
        </w:tc>
      </w:tr>
      <w:tr w:rsidR="00D55442" w:rsidRPr="00D55442" w14:paraId="35B3C0CF" w14:textId="77777777" w:rsidTr="00D55442">
        <w:tc>
          <w:tcPr>
            <w:tcW w:w="1755" w:type="dxa"/>
            <w:tcBorders>
              <w:top w:val="nil"/>
              <w:left w:val="single" w:sz="8" w:space="0" w:color="000000"/>
              <w:bottom w:val="single" w:sz="4" w:space="0" w:color="000000"/>
              <w:right w:val="nil"/>
            </w:tcBorders>
          </w:tcPr>
          <w:p w14:paraId="68032B68" w14:textId="04A4B1DE" w:rsidR="00D55442" w:rsidRPr="00D55442" w:rsidRDefault="00AB12E5">
            <w:pPr>
              <w:pStyle w:val="TableContents"/>
              <w:spacing w:before="28" w:after="28"/>
              <w:jc w:val="center"/>
              <w:rPr>
                <w:rFonts w:cstheme="minorHAnsi"/>
              </w:rPr>
            </w:pPr>
            <w:r>
              <w:rPr>
                <w:rFonts w:cstheme="minorHAnsi"/>
              </w:rPr>
              <w:t>13/01/2021</w:t>
            </w:r>
          </w:p>
        </w:tc>
        <w:tc>
          <w:tcPr>
            <w:tcW w:w="1288" w:type="dxa"/>
            <w:tcBorders>
              <w:top w:val="nil"/>
              <w:left w:val="single" w:sz="4" w:space="0" w:color="000000"/>
              <w:bottom w:val="single" w:sz="4" w:space="0" w:color="000000"/>
              <w:right w:val="nil"/>
            </w:tcBorders>
          </w:tcPr>
          <w:p w14:paraId="5CA512AA" w14:textId="639531B1" w:rsidR="00AB12E5" w:rsidRPr="00D55442" w:rsidRDefault="00AB12E5" w:rsidP="00AB12E5">
            <w:pPr>
              <w:pStyle w:val="TableContents"/>
              <w:spacing w:before="28" w:after="28"/>
              <w:rPr>
                <w:rFonts w:cstheme="minorHAnsi"/>
              </w:rPr>
            </w:pPr>
            <w:r>
              <w:rPr>
                <w:rFonts w:cstheme="minorHAnsi"/>
              </w:rPr>
              <w:t>AL</w:t>
            </w:r>
          </w:p>
        </w:tc>
        <w:tc>
          <w:tcPr>
            <w:tcW w:w="6879" w:type="dxa"/>
            <w:tcBorders>
              <w:top w:val="nil"/>
              <w:left w:val="single" w:sz="4" w:space="0" w:color="000000"/>
              <w:bottom w:val="single" w:sz="4" w:space="0" w:color="000000"/>
              <w:right w:val="single" w:sz="8" w:space="0" w:color="000000"/>
            </w:tcBorders>
          </w:tcPr>
          <w:p w14:paraId="43C9F473" w14:textId="4B3C6DF3" w:rsidR="00D55442" w:rsidRPr="00D55442" w:rsidRDefault="00AB12E5">
            <w:pPr>
              <w:pStyle w:val="TableContents"/>
              <w:spacing w:before="28" w:after="28"/>
              <w:rPr>
                <w:rFonts w:cstheme="minorHAnsi"/>
              </w:rPr>
            </w:pPr>
            <w:r>
              <w:rPr>
                <w:rFonts w:cstheme="minorHAnsi"/>
              </w:rPr>
              <w:t>Approved by Chair</w:t>
            </w:r>
          </w:p>
        </w:tc>
      </w:tr>
      <w:tr w:rsidR="00D55442" w:rsidRPr="00D55442" w14:paraId="16CE2E1E" w14:textId="77777777" w:rsidTr="00D55442">
        <w:tc>
          <w:tcPr>
            <w:tcW w:w="1755" w:type="dxa"/>
            <w:tcBorders>
              <w:top w:val="single" w:sz="4" w:space="0" w:color="000000"/>
              <w:left w:val="single" w:sz="4" w:space="0" w:color="000000"/>
              <w:bottom w:val="single" w:sz="4" w:space="0" w:color="000000"/>
              <w:right w:val="nil"/>
            </w:tcBorders>
          </w:tcPr>
          <w:p w14:paraId="4BF8A7A8" w14:textId="77777777" w:rsidR="00D55442" w:rsidRPr="00D55442" w:rsidRDefault="00D55442">
            <w:pPr>
              <w:pStyle w:val="TableContents"/>
              <w:spacing w:before="28" w:after="28"/>
              <w:jc w:val="center"/>
              <w:rPr>
                <w:rFonts w:cstheme="minorHAnsi"/>
              </w:rPr>
            </w:pPr>
          </w:p>
        </w:tc>
        <w:tc>
          <w:tcPr>
            <w:tcW w:w="1288" w:type="dxa"/>
            <w:tcBorders>
              <w:top w:val="single" w:sz="4" w:space="0" w:color="000000"/>
              <w:left w:val="single" w:sz="4" w:space="0" w:color="000000"/>
              <w:bottom w:val="single" w:sz="4" w:space="0" w:color="000000"/>
              <w:right w:val="nil"/>
            </w:tcBorders>
          </w:tcPr>
          <w:p w14:paraId="1D44A56F" w14:textId="77777777" w:rsidR="00D55442" w:rsidRPr="00D55442" w:rsidRDefault="00D55442">
            <w:pPr>
              <w:pStyle w:val="TableContents"/>
              <w:spacing w:before="28" w:after="28"/>
              <w:jc w:val="center"/>
              <w:rPr>
                <w:rFonts w:cstheme="minorHAnsi"/>
              </w:rPr>
            </w:pPr>
          </w:p>
        </w:tc>
        <w:tc>
          <w:tcPr>
            <w:tcW w:w="6879" w:type="dxa"/>
            <w:tcBorders>
              <w:top w:val="single" w:sz="4" w:space="0" w:color="000000"/>
              <w:left w:val="single" w:sz="4" w:space="0" w:color="000000"/>
              <w:bottom w:val="single" w:sz="4" w:space="0" w:color="000000"/>
              <w:right w:val="single" w:sz="8" w:space="0" w:color="000000"/>
            </w:tcBorders>
          </w:tcPr>
          <w:p w14:paraId="6D8B5F26" w14:textId="77777777" w:rsidR="00D55442" w:rsidRPr="00D55442" w:rsidRDefault="00D55442">
            <w:pPr>
              <w:pStyle w:val="TableContents"/>
              <w:spacing w:before="28" w:after="28"/>
              <w:rPr>
                <w:rFonts w:cstheme="minorHAnsi"/>
              </w:rPr>
            </w:pPr>
          </w:p>
        </w:tc>
      </w:tr>
      <w:tr w:rsidR="00D55442" w:rsidRPr="00D55442" w14:paraId="28C60D67" w14:textId="77777777" w:rsidTr="00D55442">
        <w:tc>
          <w:tcPr>
            <w:tcW w:w="1755" w:type="dxa"/>
            <w:tcBorders>
              <w:top w:val="single" w:sz="4" w:space="0" w:color="000000"/>
              <w:left w:val="single" w:sz="4" w:space="0" w:color="000000"/>
              <w:bottom w:val="single" w:sz="4" w:space="0" w:color="000000"/>
              <w:right w:val="nil"/>
            </w:tcBorders>
          </w:tcPr>
          <w:p w14:paraId="7ECBEB5E" w14:textId="77777777" w:rsidR="00D55442" w:rsidRPr="00D55442" w:rsidRDefault="00D55442">
            <w:pPr>
              <w:pStyle w:val="TableContents"/>
              <w:spacing w:before="28" w:after="28"/>
              <w:jc w:val="center"/>
              <w:rPr>
                <w:rFonts w:cstheme="minorHAnsi"/>
              </w:rPr>
            </w:pPr>
          </w:p>
        </w:tc>
        <w:tc>
          <w:tcPr>
            <w:tcW w:w="1288" w:type="dxa"/>
            <w:tcBorders>
              <w:top w:val="single" w:sz="4" w:space="0" w:color="000000"/>
              <w:left w:val="single" w:sz="4" w:space="0" w:color="000000"/>
              <w:bottom w:val="single" w:sz="4" w:space="0" w:color="000000"/>
              <w:right w:val="nil"/>
            </w:tcBorders>
          </w:tcPr>
          <w:p w14:paraId="7011775F" w14:textId="77777777" w:rsidR="00D55442" w:rsidRPr="00D55442" w:rsidRDefault="00D55442">
            <w:pPr>
              <w:pStyle w:val="TableContents"/>
              <w:spacing w:before="28" w:after="28"/>
              <w:jc w:val="center"/>
              <w:rPr>
                <w:rFonts w:cstheme="minorHAnsi"/>
              </w:rPr>
            </w:pPr>
          </w:p>
        </w:tc>
        <w:tc>
          <w:tcPr>
            <w:tcW w:w="6879" w:type="dxa"/>
            <w:tcBorders>
              <w:top w:val="single" w:sz="4" w:space="0" w:color="000000"/>
              <w:left w:val="single" w:sz="4" w:space="0" w:color="000000"/>
              <w:bottom w:val="single" w:sz="4" w:space="0" w:color="000000"/>
              <w:right w:val="single" w:sz="8" w:space="0" w:color="000000"/>
            </w:tcBorders>
          </w:tcPr>
          <w:p w14:paraId="691D6C06" w14:textId="77777777" w:rsidR="00D55442" w:rsidRPr="00D55442" w:rsidRDefault="00D55442">
            <w:pPr>
              <w:pStyle w:val="TableContents"/>
              <w:spacing w:before="28" w:after="28"/>
              <w:rPr>
                <w:rFonts w:cstheme="minorHAnsi"/>
              </w:rPr>
            </w:pPr>
          </w:p>
        </w:tc>
      </w:tr>
    </w:tbl>
    <w:p w14:paraId="50FCFF7C" w14:textId="77777777" w:rsidR="00D55442" w:rsidRPr="00D55442" w:rsidRDefault="00D55442" w:rsidP="00D55442">
      <w:pPr>
        <w:rPr>
          <w:rFonts w:eastAsia="Arial Unicode MS" w:cstheme="minorHAnsi"/>
          <w:kern w:val="2"/>
          <w:sz w:val="24"/>
          <w:szCs w:val="24"/>
        </w:rPr>
      </w:pPr>
    </w:p>
    <w:p w14:paraId="62A45201" w14:textId="63A41517" w:rsidR="003F0FAB" w:rsidRPr="00D55442" w:rsidRDefault="003F0FAB" w:rsidP="00697ECA">
      <w:pPr>
        <w:rPr>
          <w:rFonts w:cstheme="minorHAnsi"/>
          <w:sz w:val="24"/>
          <w:szCs w:val="24"/>
        </w:rPr>
      </w:pPr>
    </w:p>
    <w:sectPr w:rsidR="003F0FAB" w:rsidRPr="00D55442" w:rsidSect="000C0EBC">
      <w:headerReference w:type="default" r:id="rId9"/>
      <w:footerReference w:type="default" r:id="rId10"/>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1158C" w14:textId="77777777" w:rsidR="00C7067C" w:rsidRDefault="00C7067C" w:rsidP="00D1103F">
      <w:pPr>
        <w:spacing w:after="0" w:line="240" w:lineRule="auto"/>
      </w:pPr>
      <w:r>
        <w:separator/>
      </w:r>
    </w:p>
  </w:endnote>
  <w:endnote w:type="continuationSeparator" w:id="0">
    <w:p w14:paraId="4D736D42" w14:textId="77777777" w:rsidR="00C7067C" w:rsidRDefault="00C7067C"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248A" w14:textId="1F7C9CCC" w:rsidR="005B5E93" w:rsidRPr="000E4B0C" w:rsidRDefault="005B5E93" w:rsidP="000E4B0C">
    <w:pPr>
      <w:pStyle w:val="Footer"/>
    </w:pPr>
    <w: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189D" w14:textId="77777777" w:rsidR="00C7067C" w:rsidRDefault="00C7067C" w:rsidP="00D1103F">
      <w:pPr>
        <w:spacing w:after="0" w:line="240" w:lineRule="auto"/>
      </w:pPr>
      <w:r>
        <w:separator/>
      </w:r>
    </w:p>
  </w:footnote>
  <w:footnote w:type="continuationSeparator" w:id="0">
    <w:p w14:paraId="1259402E" w14:textId="77777777" w:rsidR="00C7067C" w:rsidRDefault="00C7067C"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3F0FAB" w:rsidRDefault="003F0FAB"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3F0FAB" w:rsidRDefault="003F0FAB" w:rsidP="006B69EB">
    <w:pPr>
      <w:spacing w:after="0"/>
      <w:rPr>
        <w:sz w:val="16"/>
        <w:szCs w:val="16"/>
      </w:rPr>
    </w:pPr>
  </w:p>
  <w:p w14:paraId="18E0C543" w14:textId="77777777" w:rsidR="003F0FAB" w:rsidRDefault="003F0FAB" w:rsidP="001224AD">
    <w:pPr>
      <w:spacing w:after="0"/>
      <w:rPr>
        <w:b/>
        <w:sz w:val="14"/>
        <w:szCs w:val="14"/>
      </w:rPr>
    </w:pPr>
  </w:p>
  <w:p w14:paraId="69EBE36A" w14:textId="77777777" w:rsidR="003F0FAB" w:rsidRDefault="003F0FAB"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3F0FAB" w:rsidRPr="000B656D" w:rsidRDefault="003F0FAB"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3F0FAB" w:rsidRDefault="003F0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5CF7CF6"/>
    <w:multiLevelType w:val="multilevel"/>
    <w:tmpl w:val="CA082744"/>
    <w:lvl w:ilvl="0">
      <w:start w:val="1"/>
      <w:numFmt w:val="bullet"/>
      <w:lvlText w:val=""/>
      <w:lvlJc w:val="left"/>
      <w:pPr>
        <w:tabs>
          <w:tab w:val="num" w:pos="720"/>
        </w:tabs>
        <w:ind w:left="720" w:hanging="360"/>
      </w:pPr>
      <w:rPr>
        <w:rFonts w:ascii="Wingdings" w:hAnsi="Wingdings" w:hint="default"/>
        <w:caps w:val="0"/>
        <w:strike w:val="0"/>
        <w:dstrike w:val="0"/>
        <w:vanish w:val="0"/>
        <w:webHidden w:val="0"/>
        <w:color w:val="auto"/>
        <w:sz w:val="36"/>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6484E"/>
    <w:multiLevelType w:val="hybridMultilevel"/>
    <w:tmpl w:val="EC0C5062"/>
    <w:lvl w:ilvl="0" w:tplc="4EC075DC">
      <w:start w:val="1"/>
      <w:numFmt w:val="bullet"/>
      <w:pStyle w:val="TickList"/>
      <w:lvlText w:val=""/>
      <w:lvlJc w:val="left"/>
      <w:pPr>
        <w:ind w:left="1080" w:hanging="360"/>
      </w:pPr>
      <w:rPr>
        <w:rFonts w:ascii="Wingdings" w:hAnsi="Wingdings"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3923F8"/>
    <w:multiLevelType w:val="multilevel"/>
    <w:tmpl w:val="BD7E1778"/>
    <w:lvl w:ilvl="0">
      <w:start w:val="1"/>
      <w:numFmt w:val="decimal"/>
      <w:lvlText w:val="%1."/>
      <w:lvlJc w:val="left"/>
      <w:pPr>
        <w:ind w:left="567" w:hanging="567"/>
      </w:pPr>
      <w:rPr>
        <w:color w:val="auto"/>
      </w:rPr>
    </w:lvl>
    <w:lvl w:ilvl="1">
      <w:start w:val="1"/>
      <w:numFmt w:val="decimal"/>
      <w:lvlText w:val="%1.%2"/>
      <w:lvlJc w:val="left"/>
      <w:pPr>
        <w:tabs>
          <w:tab w:val="num" w:pos="576"/>
        </w:tabs>
        <w:ind w:left="709" w:hanging="709"/>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lvlRestart w:val="1"/>
      <w:suff w:val="nothing"/>
      <w:lvlText w:val=""/>
      <w:lvlJc w:val="left"/>
      <w:pPr>
        <w:ind w:left="1296" w:hanging="1296"/>
      </w:pPr>
    </w:lvl>
    <w:lvl w:ilvl="7">
      <w:start w:val="1"/>
      <w:numFmt w:val="decimal"/>
      <w:lvlText w:val="%8."/>
      <w:lvlJc w:val="left"/>
      <w:pPr>
        <w:ind w:left="567" w:hanging="567"/>
      </w:pPr>
    </w:lvl>
    <w:lvl w:ilvl="8">
      <w:start w:val="1"/>
      <w:numFmt w:val="lowerLetter"/>
      <w:lvlText w:val="%9)"/>
      <w:lvlJc w:val="left"/>
      <w:pPr>
        <w:ind w:left="992" w:hanging="425"/>
      </w:pPr>
    </w:lvl>
  </w:abstractNum>
  <w:abstractNum w:abstractNumId="12" w15:restartNumberingAfterBreak="0">
    <w:nsid w:val="704B37B9"/>
    <w:multiLevelType w:val="multilevel"/>
    <w:tmpl w:val="55BA4D2C"/>
    <w:lvl w:ilvl="0">
      <w:start w:val="1"/>
      <w:numFmt w:val="decimal"/>
      <w:lvlText w:val="%1."/>
      <w:lvlJc w:val="left"/>
      <w:pPr>
        <w:tabs>
          <w:tab w:val="num" w:pos="720"/>
        </w:tabs>
        <w:ind w:left="720" w:hanging="360"/>
      </w:pPr>
    </w:lvl>
    <w:lvl w:ilvl="1">
      <w:start w:val="1"/>
      <w:numFmt w:val="lowerLetter"/>
      <w:pStyle w:val="Normal-1-Numbered"/>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6D3399"/>
    <w:multiLevelType w:val="multilevel"/>
    <w:tmpl w:val="01C68B50"/>
    <w:lvl w:ilvl="0">
      <w:start w:val="1"/>
      <w:numFmt w:val="decimal"/>
      <w:pStyle w:val="NormalNumbere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72690"/>
    <w:multiLevelType w:val="multilevel"/>
    <w:tmpl w:val="67244360"/>
    <w:lvl w:ilvl="0">
      <w:start w:val="1"/>
      <w:numFmt w:val="bullet"/>
      <w:pStyle w:val="BulletLevel-0"/>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0"/>
  </w:num>
  <w:num w:numId="5">
    <w:abstractNumId w:val="4"/>
  </w:num>
  <w:num w:numId="6">
    <w:abstractNumId w:val="3"/>
  </w:num>
  <w:num w:numId="7">
    <w:abstractNumId w:val="9"/>
  </w:num>
  <w:num w:numId="8">
    <w:abstractNumId w:val="5"/>
  </w:num>
  <w:num w:numId="9">
    <w:abstractNumId w:val="14"/>
  </w:num>
  <w:num w:numId="10">
    <w:abstractNumId w:val="8"/>
  </w:num>
  <w:num w:numId="11">
    <w:abstractNumId w:val="8"/>
  </w:num>
  <w:num w:numId="12">
    <w:abstractNumId w:val="15"/>
  </w:num>
  <w:num w:numId="13">
    <w:abstractNumId w:val="15"/>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1"/>
    <w:lvlOverride w:ilvl="0">
      <w:lvl w:ilvl="0">
        <w:start w:val="1"/>
        <w:numFmt w:val="decimal"/>
        <w:lvlText w:val="%1."/>
        <w:lvlJc w:val="left"/>
        <w:pPr>
          <w:ind w:left="567" w:hanging="567"/>
        </w:pPr>
        <w:rPr>
          <w:color w:val="auto"/>
        </w:rPr>
      </w:lvl>
    </w:lvlOverride>
    <w:lvlOverride w:ilvl="1">
      <w:lvl w:ilvl="1">
        <w:start w:val="1"/>
        <w:numFmt w:val="decimal"/>
        <w:lvlText w:val="%1.%2"/>
        <w:lvlJc w:val="left"/>
        <w:pPr>
          <w:tabs>
            <w:tab w:val="num" w:pos="576"/>
          </w:tabs>
          <w:ind w:left="709" w:hanging="709"/>
        </w:pPr>
      </w:lvl>
    </w:lvlOverride>
    <w:lvlOverride w:ilvl="2">
      <w:lvl w:ilvl="2">
        <w:start w:val="1"/>
        <w:numFmt w:val="decimal"/>
        <w:suff w:val="nothing"/>
        <w:lvlText w:val=""/>
        <w:lvlJc w:val="left"/>
        <w:pPr>
          <w:ind w:left="720" w:hanging="720"/>
        </w:pPr>
      </w:lvl>
    </w:lvlOverride>
    <w:lvlOverride w:ilvl="3">
      <w:lvl w:ilvl="3">
        <w:start w:val="1"/>
        <w:numFmt w:val="decimal"/>
        <w:suff w:val="nothing"/>
        <w:lvlText w:val=""/>
        <w:lvlJc w:val="left"/>
        <w:pPr>
          <w:ind w:left="864" w:hanging="864"/>
        </w:pPr>
      </w:lvl>
    </w:lvlOverride>
    <w:lvlOverride w:ilvl="4">
      <w:lvl w:ilvl="4">
        <w:start w:val="1"/>
        <w:numFmt w:val="decimal"/>
        <w:suff w:val="nothing"/>
        <w:lvlText w:val=""/>
        <w:lvlJc w:val="left"/>
        <w:pPr>
          <w:ind w:left="1008" w:hanging="1008"/>
        </w:pPr>
      </w:lvl>
    </w:lvlOverride>
    <w:lvlOverride w:ilvl="5">
      <w:lvl w:ilvl="5">
        <w:start w:val="1"/>
        <w:numFmt w:val="decimal"/>
        <w:suff w:val="nothing"/>
        <w:lvlText w:val=""/>
        <w:lvlJc w:val="left"/>
        <w:pPr>
          <w:ind w:left="1152" w:hanging="1152"/>
        </w:pPr>
      </w:lvl>
    </w:lvlOverride>
    <w:lvlOverride w:ilvl="6">
      <w:lvl w:ilvl="6">
        <w:start w:val="1"/>
        <w:numFmt w:val="decimal"/>
        <w:lvlRestart w:val="1"/>
        <w:suff w:val="nothing"/>
        <w:lvlText w:val=""/>
        <w:lvlJc w:val="left"/>
        <w:pPr>
          <w:ind w:left="1296" w:hanging="1296"/>
        </w:pPr>
      </w:lvl>
    </w:lvlOverride>
    <w:lvlOverride w:ilvl="7">
      <w:lvl w:ilvl="7">
        <w:start w:val="1"/>
        <w:numFmt w:val="decimal"/>
        <w:lvlText w:val="%8."/>
        <w:lvlJc w:val="left"/>
        <w:pPr>
          <w:ind w:left="567" w:hanging="567"/>
        </w:pPr>
      </w:lvl>
    </w:lvlOverride>
    <w:lvlOverride w:ilvl="8">
      <w:lvl w:ilvl="8">
        <w:start w:val="1"/>
        <w:numFmt w:val="decimal"/>
        <w:lvlText w:val="%9)"/>
        <w:lvlJc w:val="left"/>
        <w:pPr>
          <w:ind w:left="992" w:hanging="425"/>
        </w:pPr>
      </w:lvl>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2B5A"/>
    <w:rsid w:val="000947EE"/>
    <w:rsid w:val="000B656D"/>
    <w:rsid w:val="000C0EBC"/>
    <w:rsid w:val="000D4839"/>
    <w:rsid w:val="000D70D4"/>
    <w:rsid w:val="000E4B0C"/>
    <w:rsid w:val="001224AD"/>
    <w:rsid w:val="00164127"/>
    <w:rsid w:val="001818FD"/>
    <w:rsid w:val="00190474"/>
    <w:rsid w:val="00192409"/>
    <w:rsid w:val="001A159A"/>
    <w:rsid w:val="001A2627"/>
    <w:rsid w:val="001F2B0B"/>
    <w:rsid w:val="00252C45"/>
    <w:rsid w:val="002962E8"/>
    <w:rsid w:val="00314E52"/>
    <w:rsid w:val="003434DB"/>
    <w:rsid w:val="0034554F"/>
    <w:rsid w:val="00363C23"/>
    <w:rsid w:val="003661CB"/>
    <w:rsid w:val="0039235C"/>
    <w:rsid w:val="003F0FAB"/>
    <w:rsid w:val="00434C3F"/>
    <w:rsid w:val="00466EFA"/>
    <w:rsid w:val="004B7378"/>
    <w:rsid w:val="00553D9F"/>
    <w:rsid w:val="005B5E93"/>
    <w:rsid w:val="005F7448"/>
    <w:rsid w:val="00636EE3"/>
    <w:rsid w:val="00666528"/>
    <w:rsid w:val="00697ECA"/>
    <w:rsid w:val="006A43FE"/>
    <w:rsid w:val="006B69EB"/>
    <w:rsid w:val="00740746"/>
    <w:rsid w:val="007D7902"/>
    <w:rsid w:val="007E23D1"/>
    <w:rsid w:val="007E66D4"/>
    <w:rsid w:val="00831FF6"/>
    <w:rsid w:val="00840486"/>
    <w:rsid w:val="008A5A1B"/>
    <w:rsid w:val="008D6B53"/>
    <w:rsid w:val="008F67D3"/>
    <w:rsid w:val="008F7F14"/>
    <w:rsid w:val="00971FD4"/>
    <w:rsid w:val="009A5DC1"/>
    <w:rsid w:val="009A69C5"/>
    <w:rsid w:val="009B4101"/>
    <w:rsid w:val="009B60FA"/>
    <w:rsid w:val="009F2E64"/>
    <w:rsid w:val="00A5468D"/>
    <w:rsid w:val="00AB12E5"/>
    <w:rsid w:val="00B14479"/>
    <w:rsid w:val="00BA6533"/>
    <w:rsid w:val="00BC1C9C"/>
    <w:rsid w:val="00C5728D"/>
    <w:rsid w:val="00C7067C"/>
    <w:rsid w:val="00C906A3"/>
    <w:rsid w:val="00CF4C76"/>
    <w:rsid w:val="00D1103F"/>
    <w:rsid w:val="00D41DC3"/>
    <w:rsid w:val="00D469F9"/>
    <w:rsid w:val="00D4749C"/>
    <w:rsid w:val="00D55442"/>
    <w:rsid w:val="00D61CCC"/>
    <w:rsid w:val="00D633D2"/>
    <w:rsid w:val="00E016AF"/>
    <w:rsid w:val="00E0297B"/>
    <w:rsid w:val="00E05F6E"/>
    <w:rsid w:val="00E75C74"/>
    <w:rsid w:val="00EA0000"/>
    <w:rsid w:val="00EB29A2"/>
    <w:rsid w:val="00F02E32"/>
    <w:rsid w:val="00F26322"/>
    <w:rsid w:val="00F4220D"/>
    <w:rsid w:val="00FC0EC0"/>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semiHidden/>
    <w:unhideWhenUsed/>
    <w:qFormat/>
    <w:rsid w:val="003F0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paragraph" w:styleId="Heading8">
    <w:name w:val="heading 8"/>
    <w:basedOn w:val="Normal"/>
    <w:next w:val="Normal"/>
    <w:link w:val="Heading8Char"/>
    <w:uiPriority w:val="9"/>
    <w:semiHidden/>
    <w:unhideWhenUsed/>
    <w:qFormat/>
    <w:rsid w:val="003F0FAB"/>
    <w:pPr>
      <w:keepNext/>
      <w:keepLines/>
      <w:suppressAutoHyphens/>
      <w:spacing w:before="200" w:after="0" w:line="240" w:lineRule="auto"/>
      <w:outlineLvl w:val="7"/>
    </w:pPr>
    <w:rPr>
      <w:rFonts w:asciiTheme="majorHAnsi" w:eastAsiaTheme="majorEastAsia" w:hAnsiTheme="majorHAnsi" w:cstheme="majorBidi"/>
      <w:color w:val="404040" w:themeColor="text1" w:themeTint="BF"/>
      <w:kern w:val="2"/>
      <w:sz w:val="20"/>
      <w:szCs w:val="20"/>
      <w:lang w:eastAsia="en-GB"/>
    </w:rPr>
  </w:style>
  <w:style w:type="paragraph" w:styleId="Heading9">
    <w:name w:val="heading 9"/>
    <w:basedOn w:val="Normal"/>
    <w:next w:val="Normal"/>
    <w:link w:val="Heading9Char"/>
    <w:uiPriority w:val="9"/>
    <w:semiHidden/>
    <w:unhideWhenUsed/>
    <w:qFormat/>
    <w:rsid w:val="003F0FAB"/>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kern w:val="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link w:val="ListParagraphChar"/>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link w:val="HeadingChar"/>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uiPriority w:val="99"/>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uiPriority w:val="99"/>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semiHidden/>
    <w:rsid w:val="003F0FAB"/>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3F0FAB"/>
    <w:rPr>
      <w:rFonts w:asciiTheme="majorHAnsi" w:eastAsiaTheme="majorEastAsia" w:hAnsiTheme="majorHAnsi" w:cstheme="majorBidi"/>
      <w:color w:val="404040" w:themeColor="text1" w:themeTint="BF"/>
      <w:kern w:val="2"/>
      <w:sz w:val="20"/>
      <w:szCs w:val="20"/>
      <w:lang w:eastAsia="en-GB"/>
    </w:rPr>
  </w:style>
  <w:style w:type="character" w:customStyle="1" w:styleId="Heading9Char">
    <w:name w:val="Heading 9 Char"/>
    <w:basedOn w:val="DefaultParagraphFont"/>
    <w:link w:val="Heading9"/>
    <w:uiPriority w:val="9"/>
    <w:semiHidden/>
    <w:rsid w:val="003F0FAB"/>
    <w:rPr>
      <w:rFonts w:asciiTheme="majorHAnsi" w:eastAsiaTheme="majorEastAsia" w:hAnsiTheme="majorHAnsi" w:cstheme="majorBidi"/>
      <w:i/>
      <w:iCs/>
      <w:color w:val="404040" w:themeColor="text1" w:themeTint="BF"/>
      <w:kern w:val="2"/>
      <w:sz w:val="20"/>
      <w:szCs w:val="20"/>
      <w:lang w:eastAsia="en-GB"/>
    </w:rPr>
  </w:style>
  <w:style w:type="character" w:styleId="FollowedHyperlink">
    <w:name w:val="FollowedHyperlink"/>
    <w:basedOn w:val="DefaultParagraphFont"/>
    <w:uiPriority w:val="99"/>
    <w:semiHidden/>
    <w:unhideWhenUsed/>
    <w:rsid w:val="003F0FAB"/>
    <w:rPr>
      <w:color w:val="800080" w:themeColor="followedHyperlink"/>
      <w:u w:val="single"/>
    </w:rPr>
  </w:style>
  <w:style w:type="paragraph" w:customStyle="1" w:styleId="msonormal0">
    <w:name w:val="msonormal"/>
    <w:basedOn w:val="Normal"/>
    <w:uiPriority w:val="99"/>
    <w:rsid w:val="003F0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qFormat/>
    <w:rsid w:val="003F0FAB"/>
    <w:pPr>
      <w:tabs>
        <w:tab w:val="left" w:pos="993"/>
        <w:tab w:val="left" w:pos="1701"/>
        <w:tab w:val="right" w:leader="dot" w:pos="9498"/>
      </w:tabs>
      <w:spacing w:before="40" w:after="0" w:line="240" w:lineRule="auto"/>
      <w:ind w:left="1701" w:right="709" w:hanging="1134"/>
    </w:pPr>
    <w:rPr>
      <w:rFonts w:ascii="Arial" w:eastAsiaTheme="minorEastAsia" w:hAnsi="Arial" w:cs="Arial"/>
      <w:noProof/>
      <w:sz w:val="24"/>
      <w:szCs w:val="24"/>
      <w:lang w:val="en-US" w:eastAsia="ja-JP"/>
    </w:rPr>
  </w:style>
  <w:style w:type="paragraph" w:styleId="TOC2">
    <w:name w:val="toc 2"/>
    <w:basedOn w:val="Normal"/>
    <w:next w:val="Normal"/>
    <w:autoRedefine/>
    <w:uiPriority w:val="39"/>
    <w:semiHidden/>
    <w:unhideWhenUsed/>
    <w:qFormat/>
    <w:rsid w:val="003F0FAB"/>
    <w:pPr>
      <w:tabs>
        <w:tab w:val="right" w:leader="dot" w:pos="9639"/>
      </w:tabs>
      <w:spacing w:after="0" w:line="240" w:lineRule="auto"/>
      <w:ind w:left="1701" w:hanging="709"/>
    </w:pPr>
    <w:rPr>
      <w:rFonts w:ascii="Arial" w:eastAsiaTheme="minorEastAsia" w:hAnsi="Arial" w:cs="Arial"/>
      <w:noProof/>
      <w:lang w:val="en-US" w:eastAsia="ja-JP"/>
    </w:rPr>
  </w:style>
  <w:style w:type="paragraph" w:styleId="TOC3">
    <w:name w:val="toc 3"/>
    <w:basedOn w:val="Normal"/>
    <w:next w:val="Normal"/>
    <w:autoRedefine/>
    <w:uiPriority w:val="39"/>
    <w:semiHidden/>
    <w:unhideWhenUsed/>
    <w:qFormat/>
    <w:rsid w:val="003F0FAB"/>
    <w:pPr>
      <w:tabs>
        <w:tab w:val="left" w:pos="1418"/>
        <w:tab w:val="right" w:leader="dot" w:pos="9639"/>
      </w:tabs>
      <w:spacing w:after="0" w:line="240" w:lineRule="auto"/>
      <w:ind w:left="1418"/>
    </w:pPr>
    <w:rPr>
      <w:rFonts w:ascii="Arial" w:eastAsiaTheme="minorEastAsia" w:hAnsi="Arial" w:cs="Arial"/>
      <w:noProof/>
      <w:sz w:val="20"/>
      <w:szCs w:val="20"/>
      <w:lang w:val="en-US" w:eastAsia="ja-JP"/>
    </w:rPr>
  </w:style>
  <w:style w:type="paragraph" w:styleId="Caption">
    <w:name w:val="caption"/>
    <w:basedOn w:val="Normal"/>
    <w:uiPriority w:val="99"/>
    <w:semiHidden/>
    <w:unhideWhenUsed/>
    <w:qFormat/>
    <w:rsid w:val="003F0FAB"/>
    <w:pPr>
      <w:suppressLineNumbers/>
      <w:suppressAutoHyphens/>
      <w:spacing w:before="120" w:after="120" w:line="240" w:lineRule="auto"/>
    </w:pPr>
    <w:rPr>
      <w:rFonts w:ascii="Arial" w:eastAsia="Arial Unicode MS" w:hAnsi="Arial" w:cs="Tahoma"/>
      <w:i/>
      <w:iCs/>
      <w:kern w:val="2"/>
      <w:szCs w:val="24"/>
      <w:lang w:eastAsia="en-GB"/>
    </w:rPr>
  </w:style>
  <w:style w:type="paragraph" w:styleId="List">
    <w:name w:val="List"/>
    <w:basedOn w:val="BodyText"/>
    <w:uiPriority w:val="99"/>
    <w:semiHidden/>
    <w:unhideWhenUsed/>
    <w:rsid w:val="003F0FAB"/>
    <w:pPr>
      <w:spacing w:before="120" w:after="0"/>
    </w:pPr>
    <w:rPr>
      <w:rFonts w:ascii="Arial" w:hAnsi="Arial" w:cs="Tahoma"/>
      <w:kern w:val="2"/>
    </w:rPr>
  </w:style>
  <w:style w:type="character" w:customStyle="1" w:styleId="ListParagraphChar">
    <w:name w:val="List Paragraph Char"/>
    <w:basedOn w:val="DefaultParagraphFont"/>
    <w:link w:val="ListParagraph"/>
    <w:uiPriority w:val="34"/>
    <w:locked/>
    <w:rsid w:val="003F0FAB"/>
    <w:rPr>
      <w:lang w:val="en-US"/>
    </w:rPr>
  </w:style>
  <w:style w:type="paragraph" w:styleId="TOCHeading">
    <w:name w:val="TOC Heading"/>
    <w:basedOn w:val="Heading1"/>
    <w:next w:val="Normal"/>
    <w:uiPriority w:val="39"/>
    <w:semiHidden/>
    <w:unhideWhenUsed/>
    <w:qFormat/>
    <w:rsid w:val="003F0FAB"/>
    <w:pPr>
      <w:spacing w:before="480" w:line="276" w:lineRule="auto"/>
      <w:outlineLvl w:val="9"/>
    </w:pPr>
    <w:rPr>
      <w:b/>
      <w:bCs/>
      <w:sz w:val="28"/>
      <w:szCs w:val="28"/>
      <w:lang w:eastAsia="ja-JP"/>
    </w:rPr>
  </w:style>
  <w:style w:type="character" w:customStyle="1" w:styleId="HeadingChar">
    <w:name w:val="Heading Char"/>
    <w:basedOn w:val="DefaultParagraphFont"/>
    <w:link w:val="Heading"/>
    <w:locked/>
    <w:rsid w:val="003F0FAB"/>
    <w:rPr>
      <w:rFonts w:ascii="Trebuchet MS" w:eastAsia="Arial Unicode MS" w:hAnsi="Trebuchet MS" w:cs="Tahoma"/>
      <w:b/>
      <w:color w:val="579D1C"/>
      <w:kern w:val="1"/>
      <w:sz w:val="48"/>
      <w:szCs w:val="28"/>
      <w:lang w:eastAsia="en-GB"/>
    </w:rPr>
  </w:style>
  <w:style w:type="paragraph" w:customStyle="1" w:styleId="Index">
    <w:name w:val="Index"/>
    <w:basedOn w:val="Normal"/>
    <w:uiPriority w:val="99"/>
    <w:rsid w:val="003F0FAB"/>
    <w:pPr>
      <w:suppressLineNumbers/>
      <w:suppressAutoHyphens/>
      <w:spacing w:before="120" w:after="0" w:line="240" w:lineRule="auto"/>
    </w:pPr>
    <w:rPr>
      <w:rFonts w:ascii="Arial" w:eastAsia="Arial Unicode MS" w:hAnsi="Arial" w:cs="Tahoma"/>
      <w:kern w:val="2"/>
      <w:szCs w:val="24"/>
      <w:lang w:eastAsia="en-GB"/>
    </w:rPr>
  </w:style>
  <w:style w:type="paragraph" w:customStyle="1" w:styleId="Textbodybullet">
    <w:name w:val="Text body bullet"/>
    <w:basedOn w:val="BodyText"/>
    <w:rsid w:val="003F0FAB"/>
    <w:pPr>
      <w:spacing w:before="28" w:after="28"/>
    </w:pPr>
    <w:rPr>
      <w:rFonts w:ascii="Arial" w:hAnsi="Arial" w:cs="Arial"/>
      <w:kern w:val="2"/>
    </w:rPr>
  </w:style>
  <w:style w:type="paragraph" w:customStyle="1" w:styleId="TableHeading">
    <w:name w:val="Table Heading"/>
    <w:basedOn w:val="TableContents"/>
    <w:uiPriority w:val="99"/>
    <w:rsid w:val="003F0FAB"/>
    <w:pPr>
      <w:spacing w:before="120"/>
      <w:jc w:val="center"/>
    </w:pPr>
    <w:rPr>
      <w:rFonts w:ascii="Arial" w:hAnsi="Arial" w:cs="Arial"/>
      <w:b/>
      <w:bCs/>
      <w:kern w:val="2"/>
      <w:sz w:val="22"/>
    </w:rPr>
  </w:style>
  <w:style w:type="character" w:customStyle="1" w:styleId="TickListChar">
    <w:name w:val="TickList Char"/>
    <w:basedOn w:val="DefaultParagraphFont"/>
    <w:link w:val="TickList"/>
    <w:locked/>
    <w:rsid w:val="003F0FAB"/>
    <w:rPr>
      <w:rFonts w:ascii="Arial" w:eastAsia="Arial Unicode MS" w:hAnsi="Arial" w:cs="Arial"/>
      <w:kern w:val="2"/>
      <w:szCs w:val="24"/>
    </w:rPr>
  </w:style>
  <w:style w:type="paragraph" w:customStyle="1" w:styleId="TickList">
    <w:name w:val="TickList"/>
    <w:basedOn w:val="Textbodybullet"/>
    <w:link w:val="TickListChar"/>
    <w:qFormat/>
    <w:rsid w:val="003F0FAB"/>
    <w:pPr>
      <w:numPr>
        <w:numId w:val="10"/>
      </w:numPr>
      <w:spacing w:before="60" w:after="0"/>
      <w:ind w:left="850" w:hanging="425"/>
    </w:pPr>
    <w:rPr>
      <w:lang w:eastAsia="en-US"/>
    </w:rPr>
  </w:style>
  <w:style w:type="character" w:customStyle="1" w:styleId="BulletLevel-0Char">
    <w:name w:val="BulletLevel-0 Char"/>
    <w:basedOn w:val="DefaultParagraphFont"/>
    <w:link w:val="BulletLevel-0"/>
    <w:locked/>
    <w:rsid w:val="003F0FAB"/>
    <w:rPr>
      <w:rFonts w:ascii="Arial" w:eastAsia="Arial Unicode MS" w:hAnsi="Arial" w:cs="Arial"/>
      <w:bCs/>
      <w:kern w:val="2"/>
      <w:szCs w:val="24"/>
    </w:rPr>
  </w:style>
  <w:style w:type="paragraph" w:customStyle="1" w:styleId="BulletLevel-0">
    <w:name w:val="BulletLevel-0"/>
    <w:basedOn w:val="Normal"/>
    <w:link w:val="BulletLevel-0Char"/>
    <w:qFormat/>
    <w:rsid w:val="003F0FAB"/>
    <w:pPr>
      <w:numPr>
        <w:numId w:val="12"/>
      </w:numPr>
      <w:spacing w:before="80" w:after="0" w:line="240" w:lineRule="auto"/>
      <w:ind w:left="1134" w:hanging="425"/>
    </w:pPr>
    <w:rPr>
      <w:rFonts w:ascii="Arial" w:eastAsia="Arial Unicode MS" w:hAnsi="Arial" w:cs="Arial"/>
      <w:bCs/>
      <w:kern w:val="2"/>
      <w:szCs w:val="24"/>
    </w:rPr>
  </w:style>
  <w:style w:type="character" w:customStyle="1" w:styleId="Norm0-NumChar">
    <w:name w:val="Norm0-Num Char"/>
    <w:basedOn w:val="DefaultParagraphFont"/>
    <w:link w:val="Norm0-Num"/>
    <w:locked/>
    <w:rsid w:val="003F0FAB"/>
    <w:rPr>
      <w:rFonts w:ascii="Arial" w:eastAsia="Arial Unicode MS" w:hAnsi="Arial" w:cs="Arial"/>
      <w:kern w:val="2"/>
      <w:szCs w:val="24"/>
    </w:rPr>
  </w:style>
  <w:style w:type="paragraph" w:customStyle="1" w:styleId="Norm0-Num">
    <w:name w:val="Norm0-Num"/>
    <w:link w:val="Norm0-NumChar"/>
    <w:qFormat/>
    <w:rsid w:val="003F0FAB"/>
    <w:pPr>
      <w:spacing w:before="80" w:after="0" w:line="240" w:lineRule="auto"/>
      <w:ind w:left="567" w:hanging="567"/>
    </w:pPr>
    <w:rPr>
      <w:rFonts w:ascii="Arial" w:eastAsia="Arial Unicode MS" w:hAnsi="Arial" w:cs="Arial"/>
      <w:kern w:val="2"/>
      <w:szCs w:val="24"/>
    </w:rPr>
  </w:style>
  <w:style w:type="character" w:customStyle="1" w:styleId="NormalNumberedChar">
    <w:name w:val="NormalNumbered Char"/>
    <w:basedOn w:val="DefaultParagraphFont"/>
    <w:link w:val="NormalNumbered"/>
    <w:locked/>
    <w:rsid w:val="003F0FAB"/>
    <w:rPr>
      <w:rFonts w:ascii="Arial" w:eastAsia="Arial Unicode MS" w:hAnsi="Arial" w:cs="Arial"/>
      <w:kern w:val="2"/>
    </w:rPr>
  </w:style>
  <w:style w:type="paragraph" w:customStyle="1" w:styleId="NormalNumbered">
    <w:name w:val="NormalNumbered"/>
    <w:basedOn w:val="Normal"/>
    <w:link w:val="NormalNumberedChar"/>
    <w:qFormat/>
    <w:rsid w:val="003F0FAB"/>
    <w:pPr>
      <w:numPr>
        <w:numId w:val="16"/>
      </w:numPr>
      <w:spacing w:before="120" w:after="0" w:line="240" w:lineRule="auto"/>
    </w:pPr>
    <w:rPr>
      <w:rFonts w:ascii="Arial" w:eastAsia="Arial Unicode MS" w:hAnsi="Arial" w:cs="Arial"/>
      <w:kern w:val="2"/>
    </w:rPr>
  </w:style>
  <w:style w:type="character" w:customStyle="1" w:styleId="Normal-1-NumberedChar">
    <w:name w:val="Normal-1-Numbered Char"/>
    <w:basedOn w:val="ListParagraphChar"/>
    <w:link w:val="Normal-1-Numbered"/>
    <w:locked/>
    <w:rsid w:val="003F0FAB"/>
    <w:rPr>
      <w:lang w:val="en-US"/>
    </w:rPr>
  </w:style>
  <w:style w:type="paragraph" w:customStyle="1" w:styleId="Normal-1-Numbered">
    <w:name w:val="Normal-1-Numbered"/>
    <w:basedOn w:val="ListParagraph"/>
    <w:link w:val="Normal-1-NumberedChar"/>
    <w:rsid w:val="003F0FAB"/>
    <w:pPr>
      <w:numPr>
        <w:ilvl w:val="1"/>
        <w:numId w:val="18"/>
      </w:numPr>
      <w:spacing w:before="80" w:after="0" w:line="240" w:lineRule="auto"/>
      <w:contextualSpacing w:val="0"/>
    </w:pPr>
  </w:style>
  <w:style w:type="character" w:customStyle="1" w:styleId="Norm1-NumChar">
    <w:name w:val="Norm1-Num Char"/>
    <w:basedOn w:val="Normal-1-NumberedChar"/>
    <w:link w:val="Norm1-Num"/>
    <w:locked/>
    <w:rsid w:val="003F0FAB"/>
    <w:rPr>
      <w:lang w:val="en-US"/>
    </w:rPr>
  </w:style>
  <w:style w:type="paragraph" w:customStyle="1" w:styleId="Norm1-Num">
    <w:name w:val="Norm1-Num"/>
    <w:basedOn w:val="Normal-1-Numbered"/>
    <w:link w:val="Norm1-NumChar"/>
    <w:qFormat/>
    <w:rsid w:val="003F0FAB"/>
    <w:pPr>
      <w:numPr>
        <w:ilvl w:val="0"/>
        <w:numId w:val="0"/>
      </w:numPr>
      <w:ind w:left="1134" w:hanging="425"/>
    </w:pPr>
  </w:style>
  <w:style w:type="character" w:customStyle="1" w:styleId="Norm1Char">
    <w:name w:val="Norm1 Char"/>
    <w:basedOn w:val="Norm0-NumChar"/>
    <w:link w:val="Norm1"/>
    <w:locked/>
    <w:rsid w:val="003F0FAB"/>
    <w:rPr>
      <w:rFonts w:ascii="Arial" w:eastAsia="Arial Unicode MS" w:hAnsi="Arial" w:cs="Arial"/>
      <w:kern w:val="2"/>
      <w:szCs w:val="24"/>
    </w:rPr>
  </w:style>
  <w:style w:type="paragraph" w:customStyle="1" w:styleId="Norm1">
    <w:name w:val="Norm1"/>
    <w:basedOn w:val="Norm0-Num"/>
    <w:link w:val="Norm1Char"/>
    <w:qFormat/>
    <w:rsid w:val="003F0FAB"/>
    <w:pPr>
      <w:ind w:left="709" w:firstLine="0"/>
    </w:pPr>
  </w:style>
  <w:style w:type="paragraph" w:customStyle="1" w:styleId="Norm0">
    <w:name w:val="Norm0"/>
    <w:basedOn w:val="Normal"/>
    <w:uiPriority w:val="99"/>
    <w:rsid w:val="003F0FAB"/>
    <w:pPr>
      <w:suppressAutoHyphens/>
      <w:spacing w:before="120" w:after="0" w:line="240" w:lineRule="auto"/>
    </w:pPr>
    <w:rPr>
      <w:rFonts w:ascii="Arial" w:eastAsia="Arial Unicode MS" w:hAnsi="Arial" w:cs="Arial"/>
      <w:kern w:val="2"/>
      <w:szCs w:val="24"/>
      <w:lang w:eastAsia="en-GB"/>
    </w:rPr>
  </w:style>
  <w:style w:type="character" w:customStyle="1" w:styleId="Heading0Char">
    <w:name w:val="Heading 0 Char"/>
    <w:basedOn w:val="Heading1Char"/>
    <w:link w:val="Heading0"/>
    <w:locked/>
    <w:rsid w:val="003F0FAB"/>
    <w:rPr>
      <w:rFonts w:ascii="Arial" w:eastAsia="Arial Unicode MS" w:hAnsi="Arial" w:cs="Tahoma"/>
      <w:color w:val="579D1C"/>
      <w:kern w:val="2"/>
      <w:sz w:val="36"/>
      <w:szCs w:val="32"/>
      <w:lang w:val="en-US"/>
    </w:rPr>
  </w:style>
  <w:style w:type="paragraph" w:customStyle="1" w:styleId="Heading0">
    <w:name w:val="Heading 0"/>
    <w:basedOn w:val="Heading1"/>
    <w:link w:val="Heading0Char"/>
    <w:qFormat/>
    <w:rsid w:val="003F0FAB"/>
    <w:pPr>
      <w:keepLines w:val="0"/>
      <w:suppressAutoHyphens/>
      <w:spacing w:before="360" w:line="240" w:lineRule="auto"/>
      <w:ind w:left="1843" w:hanging="1843"/>
    </w:pPr>
    <w:rPr>
      <w:rFonts w:ascii="Arial" w:eastAsia="Arial Unicode MS" w:hAnsi="Arial" w:cs="Tahoma"/>
      <w:color w:val="579D1C"/>
      <w:kern w:val="2"/>
      <w:sz w:val="36"/>
      <w:lang w:val="en-GB"/>
    </w:rPr>
  </w:style>
  <w:style w:type="paragraph" w:customStyle="1" w:styleId="Art-0">
    <w:name w:val="Art-0"/>
    <w:uiPriority w:val="99"/>
    <w:qFormat/>
    <w:rsid w:val="003F0FAB"/>
    <w:pPr>
      <w:keepNext/>
      <w:keepLines/>
      <w:spacing w:before="240" w:after="0" w:line="240" w:lineRule="auto"/>
      <w:ind w:left="1296" w:hanging="1296"/>
    </w:pPr>
    <w:rPr>
      <w:rFonts w:ascii="Arial" w:eastAsia="Arial Unicode MS" w:hAnsi="Arial" w:cs="Tahoma"/>
      <w:b/>
      <w:bCs/>
      <w:color w:val="579D1C"/>
      <w:kern w:val="2"/>
      <w:sz w:val="36"/>
      <w:szCs w:val="32"/>
      <w:lang w:eastAsia="en-GB"/>
    </w:rPr>
  </w:style>
  <w:style w:type="character" w:customStyle="1" w:styleId="Bullets">
    <w:name w:val="Bullets"/>
    <w:rsid w:val="003F0FAB"/>
    <w:rPr>
      <w:rFonts w:ascii="OpenSymbol" w:eastAsia="OpenSymbol" w:hAnsi="OpenSymbol" w:cs="OpenSymbol" w:hint="default"/>
    </w:rPr>
  </w:style>
  <w:style w:type="character" w:customStyle="1" w:styleId="subhead3">
    <w:name w:val="subhead3"/>
    <w:basedOn w:val="DefaultParagraphFont"/>
    <w:rsid w:val="003F0FAB"/>
  </w:style>
  <w:style w:type="character" w:customStyle="1" w:styleId="WW8Num5z1">
    <w:name w:val="WW8Num5z1"/>
    <w:rsid w:val="003F0FAB"/>
    <w:rPr>
      <w:rFonts w:ascii="Courier New" w:hAnsi="Courier New" w:cs="Courier New" w:hint="default"/>
    </w:rPr>
  </w:style>
  <w:style w:type="character" w:customStyle="1" w:styleId="WW8Num5z2">
    <w:name w:val="WW8Num5z2"/>
    <w:rsid w:val="003F0FAB"/>
    <w:rPr>
      <w:rFonts w:ascii="Wingdings" w:hAnsi="Wingdings" w:hint="default"/>
    </w:rPr>
  </w:style>
  <w:style w:type="character" w:customStyle="1" w:styleId="WW8Num5z0">
    <w:name w:val="WW8Num5z0"/>
    <w:rsid w:val="003F0FAB"/>
    <w:rPr>
      <w:rFonts w:ascii="Symbol" w:hAnsi="Symbol" w:hint="default"/>
    </w:rPr>
  </w:style>
  <w:style w:type="paragraph" w:styleId="Title">
    <w:name w:val="Title"/>
    <w:basedOn w:val="Heading"/>
    <w:next w:val="Normal"/>
    <w:link w:val="TitleChar"/>
    <w:uiPriority w:val="10"/>
    <w:qFormat/>
    <w:rsid w:val="003F0FAB"/>
    <w:pPr>
      <w:widowControl/>
      <w:spacing w:before="240" w:after="0"/>
      <w:jc w:val="center"/>
    </w:pPr>
    <w:rPr>
      <w:rFonts w:ascii="Arial" w:hAnsi="Arial"/>
      <w:kern w:val="2"/>
      <w:lang w:eastAsia="en-US"/>
    </w:rPr>
  </w:style>
  <w:style w:type="character" w:customStyle="1" w:styleId="TitleChar">
    <w:name w:val="Title Char"/>
    <w:basedOn w:val="DefaultParagraphFont"/>
    <w:link w:val="Title"/>
    <w:uiPriority w:val="10"/>
    <w:rsid w:val="003F0FAB"/>
    <w:rPr>
      <w:rFonts w:ascii="Arial" w:eastAsia="Arial Unicode MS" w:hAnsi="Arial" w:cs="Tahoma"/>
      <w:b/>
      <w:color w:val="579D1C"/>
      <w:kern w:val="2"/>
      <w:sz w:val="48"/>
      <w:szCs w:val="28"/>
    </w:rPr>
  </w:style>
  <w:style w:type="character" w:customStyle="1" w:styleId="dsgvo-title">
    <w:name w:val="dsgvo-title"/>
    <w:basedOn w:val="DefaultParagraphFont"/>
    <w:rsid w:val="003F0FAB"/>
  </w:style>
  <w:style w:type="character" w:customStyle="1" w:styleId="bold-number">
    <w:name w:val="bold-number"/>
    <w:basedOn w:val="DefaultParagraphFont"/>
    <w:rsid w:val="003F0FAB"/>
  </w:style>
  <w:style w:type="character" w:customStyle="1" w:styleId="st">
    <w:name w:val="st"/>
    <w:basedOn w:val="DefaultParagraphFont"/>
    <w:rsid w:val="003F0FAB"/>
  </w:style>
  <w:style w:type="paragraph" w:styleId="BodyTextIndent">
    <w:name w:val="Body Text Indent"/>
    <w:basedOn w:val="Normal"/>
    <w:link w:val="BodyTextIndentChar"/>
    <w:uiPriority w:val="99"/>
    <w:semiHidden/>
    <w:unhideWhenUsed/>
    <w:rsid w:val="00D55442"/>
    <w:pPr>
      <w:spacing w:after="120"/>
      <w:ind w:left="283"/>
    </w:pPr>
  </w:style>
  <w:style w:type="character" w:customStyle="1" w:styleId="BodyTextIndentChar">
    <w:name w:val="Body Text Indent Char"/>
    <w:basedOn w:val="DefaultParagraphFont"/>
    <w:link w:val="BodyTextIndent"/>
    <w:uiPriority w:val="99"/>
    <w:semiHidden/>
    <w:rsid w:val="00D55442"/>
  </w:style>
  <w:style w:type="character" w:customStyle="1" w:styleId="jus1">
    <w:name w:val="jus1"/>
    <w:basedOn w:val="DefaultParagraphFont"/>
    <w:rsid w:val="00D5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12331">
      <w:bodyDiv w:val="1"/>
      <w:marLeft w:val="0"/>
      <w:marRight w:val="0"/>
      <w:marTop w:val="0"/>
      <w:marBottom w:val="0"/>
      <w:divBdr>
        <w:top w:val="none" w:sz="0" w:space="0" w:color="auto"/>
        <w:left w:val="none" w:sz="0" w:space="0" w:color="auto"/>
        <w:bottom w:val="none" w:sz="0" w:space="0" w:color="auto"/>
        <w:right w:val="none" w:sz="0" w:space="0" w:color="auto"/>
      </w:divBdr>
    </w:div>
    <w:div w:id="908003102">
      <w:bodyDiv w:val="1"/>
      <w:marLeft w:val="0"/>
      <w:marRight w:val="0"/>
      <w:marTop w:val="0"/>
      <w:marBottom w:val="0"/>
      <w:divBdr>
        <w:top w:val="none" w:sz="0" w:space="0" w:color="auto"/>
        <w:left w:val="none" w:sz="0" w:space="0" w:color="auto"/>
        <w:bottom w:val="none" w:sz="0" w:space="0" w:color="auto"/>
        <w:right w:val="none" w:sz="0" w:space="0" w:color="auto"/>
      </w:divBdr>
    </w:div>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uidance/report-serious-wrngdoing-at-a-charity-as-a-worker-or-volunteer" TargetMode="External"/><Relationship Id="rId3" Type="http://schemas.openxmlformats.org/officeDocument/2006/relationships/settings" Target="settings.xml"/><Relationship Id="rId7" Type="http://schemas.openxmlformats.org/officeDocument/2006/relationships/hyperlink" Target="http://www.gov.uk/whistleblowing/over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2021-02-13T16:34:00Z</dcterms:created>
  <dcterms:modified xsi:type="dcterms:W3CDTF">2021-02-13T16:34:00Z</dcterms:modified>
</cp:coreProperties>
</file>